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D4FF0"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Rheumatoid Arthritis</w:t>
      </w:r>
    </w:p>
    <w:p w:rsidR="003D4FF0" w:rsidRPr="003D4FF0" w:rsidRDefault="008572C6" w:rsidP="003D4FF0">
      <w:pPr>
        <w:spacing w:after="0" w:line="480" w:lineRule="auto"/>
        <w:jc w:val="center"/>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Student Name</w:t>
      </w:r>
    </w:p>
    <w:p w:rsidR="003D4FF0" w:rsidRPr="003D4FF0" w:rsidRDefault="008572C6" w:rsidP="003D4FF0">
      <w:pPr>
        <w:spacing w:after="0" w:line="480" w:lineRule="auto"/>
        <w:jc w:val="center"/>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Institution Affiliation</w:t>
      </w:r>
    </w:p>
    <w:p w:rsidR="003D4FF0" w:rsidRPr="003D4FF0" w:rsidRDefault="008572C6" w:rsidP="003D4FF0">
      <w:pPr>
        <w:spacing w:after="0" w:line="480" w:lineRule="auto"/>
        <w:jc w:val="center"/>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Date</w:t>
      </w:r>
    </w:p>
    <w:p w:rsidR="00350CA7" w:rsidRPr="003D4FF0" w:rsidRDefault="00350CA7" w:rsidP="003D4FF0">
      <w:pPr>
        <w:spacing w:after="0" w:line="480" w:lineRule="auto"/>
        <w:jc w:val="center"/>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Default="00350CA7" w:rsidP="003D4FF0">
      <w:pPr>
        <w:spacing w:after="0" w:line="480" w:lineRule="auto"/>
        <w:rPr>
          <w:rFonts w:ascii="Times New Roman" w:hAnsi="Times New Roman" w:cs="Times New Roman"/>
          <w:b/>
          <w:bCs/>
          <w:color w:val="000000" w:themeColor="text1"/>
          <w:sz w:val="24"/>
          <w:szCs w:val="24"/>
        </w:rPr>
      </w:pPr>
    </w:p>
    <w:p w:rsidR="00040B8E" w:rsidRDefault="00040B8E" w:rsidP="003D4FF0">
      <w:pPr>
        <w:spacing w:after="0" w:line="480" w:lineRule="auto"/>
        <w:rPr>
          <w:rFonts w:ascii="Times New Roman" w:hAnsi="Times New Roman" w:cs="Times New Roman"/>
          <w:b/>
          <w:bCs/>
          <w:color w:val="000000" w:themeColor="text1"/>
          <w:sz w:val="24"/>
          <w:szCs w:val="24"/>
        </w:rPr>
      </w:pPr>
    </w:p>
    <w:p w:rsidR="00040B8E" w:rsidRPr="003D4FF0" w:rsidRDefault="00040B8E"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50CA7" w:rsidRPr="003D4FF0" w:rsidRDefault="00350CA7" w:rsidP="003D4FF0">
      <w:pPr>
        <w:spacing w:after="0" w:line="480" w:lineRule="auto"/>
        <w:rPr>
          <w:rFonts w:ascii="Times New Roman" w:hAnsi="Times New Roman" w:cs="Times New Roman"/>
          <w:b/>
          <w:bCs/>
          <w:color w:val="000000" w:themeColor="text1"/>
          <w:sz w:val="24"/>
          <w:szCs w:val="24"/>
        </w:rPr>
      </w:pPr>
    </w:p>
    <w:p w:rsidR="003D4FF0"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lastRenderedPageBreak/>
        <w:t>Rheumatoid Arthritis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Chief complaint</w:t>
      </w:r>
      <w:r w:rsidRPr="003D4FF0">
        <w:rPr>
          <w:rFonts w:ascii="Times New Roman" w:hAnsi="Times New Roman" w:cs="Times New Roman"/>
          <w:color w:val="000000" w:themeColor="text1"/>
          <w:sz w:val="24"/>
          <w:szCs w:val="24"/>
        </w:rPr>
        <w:t>: painful and swollen hands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HPI</w:t>
      </w:r>
      <w:r w:rsidRPr="003D4FF0">
        <w:rPr>
          <w:rFonts w:ascii="Times New Roman" w:hAnsi="Times New Roman" w:cs="Times New Roman"/>
          <w:color w:val="000000" w:themeColor="text1"/>
          <w:sz w:val="24"/>
          <w:szCs w:val="24"/>
        </w:rPr>
        <w:t>: 61-year-old female presents self to the clinic with complaints of painful and</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swollen hands. The patient has trouble bending fingers at joints and rates pain 3-4/10</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on the pain scale.</w:t>
      </w:r>
    </w:p>
    <w:p w:rsidR="007C0F4D" w:rsidRPr="003D4FF0" w:rsidRDefault="008572C6" w:rsidP="003D4FF0">
      <w:pPr>
        <w:spacing w:after="0" w:line="480" w:lineRule="auto"/>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 xml:space="preserve">Past History: </w:t>
      </w:r>
      <w:r w:rsidRPr="003D4FF0">
        <w:rPr>
          <w:rFonts w:ascii="Times New Roman" w:hAnsi="Times New Roman" w:cs="Times New Roman"/>
          <w:color w:val="000000" w:themeColor="text1"/>
          <w:sz w:val="24"/>
          <w:szCs w:val="24"/>
        </w:rPr>
        <w:t>The patient denies the presence of any medical conditions in the past—no history of admission.</w:t>
      </w:r>
    </w:p>
    <w:p w:rsidR="007C0F4D" w:rsidRPr="003D4FF0" w:rsidRDefault="008572C6" w:rsidP="003D4FF0">
      <w:pPr>
        <w:spacing w:after="0" w:line="480" w:lineRule="auto"/>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 xml:space="preserve">Past Surgical History: </w:t>
      </w:r>
      <w:r w:rsidRPr="003D4FF0">
        <w:rPr>
          <w:rFonts w:ascii="Times New Roman" w:hAnsi="Times New Roman" w:cs="Times New Roman"/>
          <w:color w:val="000000" w:themeColor="text1"/>
          <w:sz w:val="24"/>
          <w:szCs w:val="24"/>
        </w:rPr>
        <w:t>No history of minor or major surgery</w:t>
      </w:r>
    </w:p>
    <w:p w:rsidR="007C0F4D" w:rsidRPr="003D4FF0" w:rsidRDefault="008572C6" w:rsidP="003D4FF0">
      <w:pPr>
        <w:spacing w:after="0" w:line="480" w:lineRule="auto"/>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 xml:space="preserve">Family History: </w:t>
      </w:r>
      <w:r w:rsidRPr="003D4FF0">
        <w:rPr>
          <w:rFonts w:ascii="Times New Roman" w:hAnsi="Times New Roman" w:cs="Times New Roman"/>
          <w:color w:val="000000" w:themeColor="text1"/>
          <w:sz w:val="24"/>
          <w:szCs w:val="24"/>
        </w:rPr>
        <w:t xml:space="preserve">No history of chronic diseases in the family. </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Social History</w:t>
      </w:r>
      <w:r w:rsidRPr="003D4FF0">
        <w:rPr>
          <w:rFonts w:ascii="Times New Roman" w:hAnsi="Times New Roman" w:cs="Times New Roman"/>
          <w:color w:val="000000" w:themeColor="text1"/>
          <w:sz w:val="24"/>
          <w:szCs w:val="24"/>
        </w:rPr>
        <w:t>: the patient is married and has two children. Patient consumes alcohol</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socially, denies smoking, and denies any use of illicit drugs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 xml:space="preserve">Allergies: </w:t>
      </w:r>
      <w:r w:rsidRPr="003D4FF0">
        <w:rPr>
          <w:rFonts w:ascii="Times New Roman" w:hAnsi="Times New Roman" w:cs="Times New Roman"/>
          <w:color w:val="000000" w:themeColor="text1"/>
          <w:sz w:val="24"/>
          <w:szCs w:val="24"/>
        </w:rPr>
        <w:t>no known drug or food allergies</w:t>
      </w:r>
    </w:p>
    <w:p w:rsidR="007C0F4D"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Review of Systems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Constitutional: (-) chills/fever, denies malaise, denies any weight change, (-)</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appetite change</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HENT:</w:t>
      </w:r>
      <w:r w:rsidRPr="003D4FF0">
        <w:rPr>
          <w:rFonts w:ascii="Times New Roman" w:hAnsi="Times New Roman" w:cs="Times New Roman"/>
          <w:color w:val="000000" w:themeColor="text1"/>
          <w:sz w:val="24"/>
          <w:szCs w:val="24"/>
        </w:rPr>
        <w:t xml:space="preserve"> (-) sore throat, (-) ear pain, (-) rhinorrhea, (-) gingival hyperplasia, (-) sinus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pain/pressure, (-) hearing loss; Eyes: (-) eye discharge redness; (-) photophobia, (-) double vision, (-) dry eyes,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Cardiovascular</w:t>
      </w:r>
      <w:r w:rsidRPr="003D4FF0">
        <w:rPr>
          <w:rFonts w:ascii="Times New Roman" w:hAnsi="Times New Roman" w:cs="Times New Roman"/>
          <w:color w:val="000000" w:themeColor="text1"/>
          <w:sz w:val="24"/>
          <w:szCs w:val="24"/>
        </w:rPr>
        <w:t>: (-) chest pain, (-) palpitation, (-) chest discomfort</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Respiratory:</w:t>
      </w:r>
      <w:r w:rsidRPr="003D4FF0">
        <w:rPr>
          <w:rFonts w:ascii="Times New Roman" w:hAnsi="Times New Roman" w:cs="Times New Roman"/>
          <w:color w:val="000000" w:themeColor="text1"/>
          <w:sz w:val="24"/>
          <w:szCs w:val="24"/>
        </w:rPr>
        <w:t xml:space="preserve"> (-) cough, (-) shortness of breath</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Gastrointestinal:</w:t>
      </w:r>
      <w:r w:rsidRPr="003D4FF0">
        <w:rPr>
          <w:rFonts w:ascii="Times New Roman" w:hAnsi="Times New Roman" w:cs="Times New Roman"/>
          <w:color w:val="000000" w:themeColor="text1"/>
          <w:sz w:val="24"/>
          <w:szCs w:val="24"/>
        </w:rPr>
        <w:t xml:space="preserve"> (-) abdominal pain, (-) abdominal distention, (-) diarrhea, (-)</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nausea, (-) blood in stool, (-) vomiting, (-) constipation,</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Endocrine:</w:t>
      </w:r>
      <w:r w:rsidRPr="003D4FF0">
        <w:rPr>
          <w:rFonts w:ascii="Times New Roman" w:hAnsi="Times New Roman" w:cs="Times New Roman"/>
          <w:color w:val="000000" w:themeColor="text1"/>
          <w:sz w:val="24"/>
          <w:szCs w:val="24"/>
        </w:rPr>
        <w:t xml:space="preserve"> (-) polydipsia, (-) polyphagia, (-) polyuria, (-) cold intolerance, (-) heat</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intolerance</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Genitourinary/Reproductive</w:t>
      </w:r>
      <w:r w:rsidRPr="003D4FF0">
        <w:rPr>
          <w:rFonts w:ascii="Times New Roman" w:hAnsi="Times New Roman" w:cs="Times New Roman"/>
          <w:color w:val="000000" w:themeColor="text1"/>
          <w:sz w:val="24"/>
          <w:szCs w:val="24"/>
        </w:rPr>
        <w:t>: (-) difficulty of urination, (-) dysuria, (-) flank pain, (-)</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lastRenderedPageBreak/>
        <w:t>Musculoskeletal:</w:t>
      </w:r>
      <w:r w:rsidRPr="003D4FF0">
        <w:rPr>
          <w:rFonts w:ascii="Times New Roman" w:hAnsi="Times New Roman" w:cs="Times New Roman"/>
          <w:color w:val="000000" w:themeColor="text1"/>
          <w:sz w:val="24"/>
          <w:szCs w:val="24"/>
        </w:rPr>
        <w:t xml:space="preserve"> (-) gait difficulties, (-) weakness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Skin/integumentary</w:t>
      </w:r>
      <w:r w:rsidRPr="003D4FF0">
        <w:rPr>
          <w:rFonts w:ascii="Times New Roman" w:hAnsi="Times New Roman" w:cs="Times New Roman"/>
          <w:color w:val="000000" w:themeColor="text1"/>
          <w:sz w:val="24"/>
          <w:szCs w:val="24"/>
        </w:rPr>
        <w:t>: (-) rash/ulcers, (-) discoloration, (+) swollen finger joints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Allergy/immunological</w:t>
      </w:r>
      <w:r w:rsidRPr="003D4FF0">
        <w:rPr>
          <w:rFonts w:ascii="Times New Roman" w:hAnsi="Times New Roman" w:cs="Times New Roman"/>
          <w:color w:val="000000" w:themeColor="text1"/>
          <w:sz w:val="24"/>
          <w:szCs w:val="24"/>
        </w:rPr>
        <w:t>: No known allergy</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Neurological:</w:t>
      </w:r>
      <w:r w:rsidRPr="003D4FF0">
        <w:rPr>
          <w:rFonts w:ascii="Times New Roman" w:hAnsi="Times New Roman" w:cs="Times New Roman"/>
          <w:color w:val="000000" w:themeColor="text1"/>
          <w:sz w:val="24"/>
          <w:szCs w:val="24"/>
        </w:rPr>
        <w:t xml:space="preserve"> (-) </w:t>
      </w:r>
      <w:r w:rsidR="003D4FF0" w:rsidRPr="003D4FF0">
        <w:rPr>
          <w:rFonts w:ascii="Times New Roman" w:hAnsi="Times New Roman" w:cs="Times New Roman"/>
          <w:color w:val="000000" w:themeColor="text1"/>
          <w:sz w:val="24"/>
          <w:szCs w:val="24"/>
        </w:rPr>
        <w:t>dizziness,</w:t>
      </w:r>
      <w:r w:rsidRPr="003D4FF0">
        <w:rPr>
          <w:rFonts w:ascii="Times New Roman" w:hAnsi="Times New Roman" w:cs="Times New Roman"/>
          <w:color w:val="000000" w:themeColor="text1"/>
          <w:sz w:val="24"/>
          <w:szCs w:val="24"/>
        </w:rPr>
        <w:t xml:space="preserve"> (-) weakness, (-) headache, (-) speech difficulty, (-)</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tremors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Hematologic: (-)</w:t>
      </w:r>
      <w:r w:rsidRPr="003D4FF0">
        <w:rPr>
          <w:rFonts w:ascii="Times New Roman" w:hAnsi="Times New Roman" w:cs="Times New Roman"/>
          <w:color w:val="000000" w:themeColor="text1"/>
          <w:sz w:val="24"/>
          <w:szCs w:val="24"/>
        </w:rPr>
        <w:t xml:space="preserve"> bruising/bleeding easily</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Psychiatric:</w:t>
      </w:r>
      <w:r w:rsidRPr="003D4FF0">
        <w:rPr>
          <w:rFonts w:ascii="Times New Roman" w:hAnsi="Times New Roman" w:cs="Times New Roman"/>
          <w:color w:val="000000" w:themeColor="text1"/>
          <w:sz w:val="24"/>
          <w:szCs w:val="24"/>
        </w:rPr>
        <w:t xml:space="preserve"> (-) suicidal ideation, (-) depression, (-) agitation</w:t>
      </w:r>
    </w:p>
    <w:p w:rsidR="003D4FF0" w:rsidRDefault="008572C6" w:rsidP="003D4FF0">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Physical Examination</w:t>
      </w:r>
    </w:p>
    <w:p w:rsidR="007C0F4D" w:rsidRPr="003D4FF0" w:rsidRDefault="008572C6" w:rsidP="003D4FF0">
      <w:pPr>
        <w:spacing w:after="0" w:line="480" w:lineRule="auto"/>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Vital signs: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BP 127/73</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RR 18</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P 89</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 97.6 F</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H</w:t>
      </w:r>
      <w:r w:rsidR="00046A34" w:rsidRPr="003D4FF0">
        <w:rPr>
          <w:rFonts w:ascii="Times New Roman" w:hAnsi="Times New Roman" w:cs="Times New Roman"/>
          <w:color w:val="000000" w:themeColor="text1"/>
          <w:sz w:val="24"/>
          <w:szCs w:val="24"/>
        </w:rPr>
        <w:t>eigh</w:t>
      </w:r>
      <w:r w:rsidRPr="003D4FF0">
        <w:rPr>
          <w:rFonts w:ascii="Times New Roman" w:hAnsi="Times New Roman" w:cs="Times New Roman"/>
          <w:color w:val="000000" w:themeColor="text1"/>
          <w:sz w:val="24"/>
          <w:szCs w:val="24"/>
        </w:rPr>
        <w:t>t 5”7</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W</w:t>
      </w:r>
      <w:r w:rsidR="00046A34" w:rsidRPr="003D4FF0">
        <w:rPr>
          <w:rFonts w:ascii="Times New Roman" w:hAnsi="Times New Roman" w:cs="Times New Roman"/>
          <w:color w:val="000000" w:themeColor="text1"/>
          <w:sz w:val="24"/>
          <w:szCs w:val="24"/>
        </w:rPr>
        <w:t>eigh</w:t>
      </w:r>
      <w:r w:rsidRPr="003D4FF0">
        <w:rPr>
          <w:rFonts w:ascii="Times New Roman" w:hAnsi="Times New Roman" w:cs="Times New Roman"/>
          <w:color w:val="000000" w:themeColor="text1"/>
          <w:sz w:val="24"/>
          <w:szCs w:val="24"/>
        </w:rPr>
        <w:t xml:space="preserve">t 142 </w:t>
      </w:r>
      <w:r w:rsidR="00046A34" w:rsidRPr="003D4FF0">
        <w:rPr>
          <w:rFonts w:ascii="Times New Roman" w:hAnsi="Times New Roman" w:cs="Times New Roman"/>
          <w:color w:val="000000" w:themeColor="text1"/>
          <w:sz w:val="24"/>
          <w:szCs w:val="24"/>
        </w:rPr>
        <w:t>lbs.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Constitutional/General</w:t>
      </w:r>
      <w:r w:rsidRPr="003D4FF0">
        <w:rPr>
          <w:rFonts w:ascii="Times New Roman" w:hAnsi="Times New Roman" w:cs="Times New Roman"/>
          <w:color w:val="000000" w:themeColor="text1"/>
          <w:sz w:val="24"/>
          <w:szCs w:val="24"/>
        </w:rPr>
        <w:t>: well-developed; well-nourished</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HEENT</w:t>
      </w:r>
      <w:r w:rsidRPr="003D4FF0">
        <w:rPr>
          <w:rFonts w:ascii="Times New Roman" w:hAnsi="Times New Roman" w:cs="Times New Roman"/>
          <w:color w:val="000000" w:themeColor="text1"/>
          <w:sz w:val="24"/>
          <w:szCs w:val="24"/>
        </w:rPr>
        <w:t>: Normocephalic, normal conjunctivae, PERRLA, anicteric sclera; external ear</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canal no redness, no swelling, tympanic membrane intact no bulging pearl-gray</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color; the nasal cavity is pink and smooth, no septal deviation; sinuses are non-tender,</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lips are intact; the tongue is pink and symmetrical, no lesions in the mouth</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Cardiovascular</w:t>
      </w:r>
      <w:r w:rsidRPr="003D4FF0">
        <w:rPr>
          <w:rFonts w:ascii="Times New Roman" w:hAnsi="Times New Roman" w:cs="Times New Roman"/>
          <w:color w:val="000000" w:themeColor="text1"/>
          <w:sz w:val="24"/>
          <w:szCs w:val="24"/>
        </w:rPr>
        <w:t>: Regular rate and rhythm, S1 and S2 noted without murmurs, thrills,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rubs, intact distal pulses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Respiratory</w:t>
      </w:r>
      <w:r w:rsidRPr="003D4FF0">
        <w:rPr>
          <w:rFonts w:ascii="Times New Roman" w:hAnsi="Times New Roman" w:cs="Times New Roman"/>
          <w:color w:val="000000" w:themeColor="text1"/>
          <w:sz w:val="24"/>
          <w:szCs w:val="24"/>
        </w:rPr>
        <w:t>: Bilateral breath sounds clear to auscultation; respirations are non-</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labored and breath sounds are equal. no tenderness and no deformity of the chest wall</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Abdomen:</w:t>
      </w:r>
      <w:r w:rsidRPr="003D4FF0">
        <w:rPr>
          <w:rFonts w:ascii="Times New Roman" w:hAnsi="Times New Roman" w:cs="Times New Roman"/>
          <w:color w:val="000000" w:themeColor="text1"/>
          <w:sz w:val="24"/>
          <w:szCs w:val="24"/>
        </w:rPr>
        <w:t xml:space="preserve"> Soft, abdominal distention not present, normal bowel sound, no</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lastRenderedPageBreak/>
        <w:t>tenderness.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Extremities</w:t>
      </w:r>
      <w:r w:rsidRPr="003D4FF0">
        <w:rPr>
          <w:rFonts w:ascii="Times New Roman" w:hAnsi="Times New Roman" w:cs="Times New Roman"/>
          <w:color w:val="000000" w:themeColor="text1"/>
          <w:sz w:val="24"/>
          <w:szCs w:val="24"/>
        </w:rPr>
        <w:t>: No clubbing, no cyanosis, no edema. pulses palpable and equal; ROM no</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limitations in all extremities. Restrictions on hands and fingers</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Neurological:</w:t>
      </w:r>
      <w:r w:rsidRPr="003D4FF0">
        <w:rPr>
          <w:rFonts w:ascii="Times New Roman" w:hAnsi="Times New Roman" w:cs="Times New Roman"/>
          <w:color w:val="000000" w:themeColor="text1"/>
          <w:sz w:val="24"/>
          <w:szCs w:val="24"/>
        </w:rPr>
        <w:t xml:space="preserve"> alert, oriented X4 </w:t>
      </w:r>
    </w:p>
    <w:p w:rsidR="007C0F4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b/>
          <w:bCs/>
          <w:color w:val="000000" w:themeColor="text1"/>
          <w:sz w:val="24"/>
          <w:szCs w:val="24"/>
        </w:rPr>
        <w:t>Skin</w:t>
      </w:r>
      <w:r w:rsidRPr="003D4FF0">
        <w:rPr>
          <w:rFonts w:ascii="Times New Roman" w:hAnsi="Times New Roman" w:cs="Times New Roman"/>
          <w:color w:val="000000" w:themeColor="text1"/>
          <w:sz w:val="24"/>
          <w:szCs w:val="24"/>
        </w:rPr>
        <w:t>: warm and dry, no bruising, no lesions noted</w:t>
      </w:r>
    </w:p>
    <w:p w:rsidR="00880FBC"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Assessment</w:t>
      </w:r>
    </w:p>
    <w:p w:rsidR="00880FBC" w:rsidRPr="003D4FF0" w:rsidRDefault="008572C6" w:rsidP="003D4FF0">
      <w:pPr>
        <w:spacing w:after="0" w:line="480" w:lineRule="auto"/>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Primary Diagnosis: Rheumatoid Arthritis</w:t>
      </w:r>
    </w:p>
    <w:p w:rsidR="00880FBC"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 xml:space="preserve">Rheumatoid arthritis is a gradual autoimmune disorder that affects the joints. The presence of chronic inflammation caused by the condition leads to permanent destruction of the joints. </w:t>
      </w:r>
      <w:r w:rsidR="00377A1A" w:rsidRPr="003D4FF0">
        <w:rPr>
          <w:rFonts w:ascii="Times New Roman" w:hAnsi="Times New Roman" w:cs="Times New Roman"/>
          <w:color w:val="000000" w:themeColor="text1"/>
          <w:sz w:val="24"/>
          <w:szCs w:val="24"/>
        </w:rPr>
        <w:t xml:space="preserve">The disease is linked to an abnormality in the body where the immune system attacks the systems mistakenly, leading to inflammation. The leading site of the attacks in this disease is the musculoskeletal system, specifically the knees, wrists, and hands joints. Rheumatoid arthritis is a condition that affects approximately 1.3 million people in the USA, and 1% of the world's population </w:t>
      </w:r>
      <w:r w:rsidR="00046A34" w:rsidRPr="003D4FF0">
        <w:rPr>
          <w:rFonts w:ascii="Times New Roman" w:hAnsi="Times New Roman" w:cs="Times New Roman"/>
          <w:color w:val="000000" w:themeColor="text1"/>
          <w:sz w:val="24"/>
          <w:szCs w:val="24"/>
        </w:rPr>
        <w:t>(Guo et al., 2018)</w:t>
      </w:r>
      <w:r w:rsidR="00377A1A" w:rsidRPr="003D4FF0">
        <w:rPr>
          <w:rFonts w:ascii="Times New Roman" w:hAnsi="Times New Roman" w:cs="Times New Roman"/>
          <w:color w:val="000000" w:themeColor="text1"/>
          <w:sz w:val="24"/>
          <w:szCs w:val="24"/>
        </w:rPr>
        <w:t xml:space="preserve">. Despite being an autoimmune disease, it is also a systemic condition that affects the whole body. The disease symptoms include stiffness, swelling, </w:t>
      </w:r>
      <w:r w:rsidR="004C2581" w:rsidRPr="003D4FF0">
        <w:rPr>
          <w:rFonts w:ascii="Times New Roman" w:hAnsi="Times New Roman" w:cs="Times New Roman"/>
          <w:color w:val="000000" w:themeColor="text1"/>
          <w:sz w:val="24"/>
          <w:szCs w:val="24"/>
        </w:rPr>
        <w:t>and pain</w:t>
      </w:r>
      <w:r w:rsidR="00377A1A" w:rsidRPr="003D4FF0">
        <w:rPr>
          <w:rFonts w:ascii="Times New Roman" w:hAnsi="Times New Roman" w:cs="Times New Roman"/>
          <w:color w:val="000000" w:themeColor="text1"/>
          <w:sz w:val="24"/>
          <w:szCs w:val="24"/>
        </w:rPr>
        <w:t xml:space="preserve"> on the joints, joint deformity, weight loss, fatigue and weakness, fever, loss of mobility and function, and loss of steadiness in mobility.</w:t>
      </w:r>
    </w:p>
    <w:p w:rsidR="00377A1A"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Pathophysiology</w:t>
      </w:r>
    </w:p>
    <w:p w:rsidR="00377A1A"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 xml:space="preserve">The presence of joint damage, swelling, and synovitis, </w:t>
      </w:r>
      <w:r w:rsidR="00846FBC" w:rsidRPr="003D4FF0">
        <w:rPr>
          <w:rFonts w:ascii="Times New Roman" w:hAnsi="Times New Roman" w:cs="Times New Roman"/>
          <w:color w:val="000000" w:themeColor="text1"/>
          <w:sz w:val="24"/>
          <w:szCs w:val="24"/>
        </w:rPr>
        <w:t>which characterizes rheumatoid arthritis, is the inflammatory process's outcomes, which involves the adaptive and innate immune systems. In individuals at risk of the disease, the interactions between genes and environment lead to the loss of self-tolerance proteins containing citrulline residues</w:t>
      </w:r>
      <w:r w:rsidR="00046A34" w:rsidRPr="003D4FF0">
        <w:rPr>
          <w:rFonts w:ascii="Times New Roman" w:hAnsi="Times New Roman" w:cs="Times New Roman"/>
          <w:color w:val="000000" w:themeColor="text1"/>
          <w:sz w:val="24"/>
          <w:szCs w:val="24"/>
        </w:rPr>
        <w:t xml:space="preserve"> (Guo et al., 2018)</w:t>
      </w:r>
      <w:r w:rsidR="00846FBC" w:rsidRPr="003D4FF0">
        <w:rPr>
          <w:rFonts w:ascii="Times New Roman" w:hAnsi="Times New Roman" w:cs="Times New Roman"/>
          <w:color w:val="000000" w:themeColor="text1"/>
          <w:sz w:val="24"/>
          <w:szCs w:val="24"/>
        </w:rPr>
        <w:t xml:space="preserve">. The proteins are generated through translational modifications of the arginine to citrulline by peptidyl arginine deiminase. Shared epitopes enhance the generation of citrullinated peptides, which are not recognized as part of the body by the immune system, </w:t>
      </w:r>
      <w:r w:rsidR="00846FBC" w:rsidRPr="003D4FF0">
        <w:rPr>
          <w:rFonts w:ascii="Times New Roman" w:hAnsi="Times New Roman" w:cs="Times New Roman"/>
          <w:color w:val="000000" w:themeColor="text1"/>
          <w:sz w:val="24"/>
          <w:szCs w:val="24"/>
        </w:rPr>
        <w:lastRenderedPageBreak/>
        <w:t>which influences anti-citrullinated protein antibody (ACPA) against them. Synovitis occurs due to the infiltration of the synovium</w:t>
      </w:r>
      <w:r w:rsidR="00046A34" w:rsidRPr="003D4FF0">
        <w:rPr>
          <w:rFonts w:ascii="Times New Roman" w:hAnsi="Times New Roman" w:cs="Times New Roman"/>
          <w:color w:val="000000" w:themeColor="text1"/>
          <w:sz w:val="24"/>
          <w:szCs w:val="24"/>
        </w:rPr>
        <w:t xml:space="preserve"> (Fursi&amp; Emery, 2014)</w:t>
      </w:r>
      <w:r w:rsidR="00846FBC" w:rsidRPr="003D4FF0">
        <w:rPr>
          <w:rFonts w:ascii="Times New Roman" w:hAnsi="Times New Roman" w:cs="Times New Roman"/>
          <w:color w:val="000000" w:themeColor="text1"/>
          <w:sz w:val="24"/>
          <w:szCs w:val="24"/>
        </w:rPr>
        <w:t xml:space="preserve">. Accumulation of the leukocytes in the synovium leads to leukocytes migration to respond to the molecule's adhesion. The synovium's internal segment is hypoxic due to the proliferation of the synovial cells and diminished capillary flow, leading to increased fluid volume. </w:t>
      </w:r>
      <w:r w:rsidR="00FB59E8" w:rsidRPr="003D4FF0">
        <w:rPr>
          <w:rFonts w:ascii="Times New Roman" w:hAnsi="Times New Roman" w:cs="Times New Roman"/>
          <w:color w:val="000000" w:themeColor="text1"/>
          <w:sz w:val="24"/>
          <w:szCs w:val="24"/>
        </w:rPr>
        <w:t>The adaptive pathway occurs due to the presence of dendritic cells, which express various cytokines. The dendritic cells influence antigen presentation to the T-cells in the synovium, which serves as the immune reaction's activation process.</w:t>
      </w:r>
    </w:p>
    <w:p w:rsidR="007B06F8"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The pathway of development of rheumatoid arthritis contains three main occurrences. One of the events that lead to disease development is the presence of triggers. For the immune system to react, some events or elements trigger the response. When there is a combination of risk factors such as genetics, obesity, or smoking, the initial stage of triggering the immune system is enhanced. The body reacts by establishing antibodies such as ACPA and rheumatoid factors, which acts on the joints</w:t>
      </w:r>
      <w:r w:rsidR="00046A34" w:rsidRPr="003D4FF0">
        <w:rPr>
          <w:rFonts w:ascii="Times New Roman" w:hAnsi="Times New Roman" w:cs="Times New Roman"/>
          <w:color w:val="000000" w:themeColor="text1"/>
          <w:sz w:val="24"/>
          <w:szCs w:val="24"/>
        </w:rPr>
        <w:t xml:space="preserve"> (Fursi&amp; Emery, 2014)</w:t>
      </w:r>
      <w:r w:rsidRPr="003D4FF0">
        <w:rPr>
          <w:rFonts w:ascii="Times New Roman" w:hAnsi="Times New Roman" w:cs="Times New Roman"/>
          <w:color w:val="000000" w:themeColor="text1"/>
          <w:sz w:val="24"/>
          <w:szCs w:val="24"/>
        </w:rPr>
        <w:t>. Inflammation is the second stage of disease development. Chemicals such as platelet-derived growth factor, fibroblast growth factor, interleukins, and tumor necrosis factor-alpha are released to initiate inflammation. The disease's last phase is tissue and joint destruction through damage of the ligaments, tendons, bones, and cartilage.</w:t>
      </w:r>
    </w:p>
    <w:p w:rsidR="00FB59E8"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Various risk factors expose individuals to develop rheumatoid arthritis. One of the factors is age. The disease has been suggested to increase with age, and its onset is high among adults in their sixties. Sex is another factor where women are suggested to have three times prevalence as compared to men. Genetics is another element that suggests that there are specific genes that expose people to develop rheumatoid arthritis. Human leukocyte antigen is the main gene associated with the disease</w:t>
      </w:r>
      <w:r w:rsidR="00046A34" w:rsidRPr="003D4FF0">
        <w:rPr>
          <w:rFonts w:ascii="Times New Roman" w:hAnsi="Times New Roman" w:cs="Times New Roman"/>
          <w:color w:val="000000" w:themeColor="text1"/>
          <w:sz w:val="24"/>
          <w:szCs w:val="24"/>
        </w:rPr>
        <w:t xml:space="preserve"> (Guo et al., 2018)</w:t>
      </w:r>
      <w:r w:rsidRPr="003D4FF0">
        <w:rPr>
          <w:rFonts w:ascii="Times New Roman" w:hAnsi="Times New Roman" w:cs="Times New Roman"/>
          <w:color w:val="000000" w:themeColor="text1"/>
          <w:sz w:val="24"/>
          <w:szCs w:val="24"/>
        </w:rPr>
        <w:t xml:space="preserve">. Smoking is another lifestyle factor that increases the risk of developing rheumatoid arthritis. More of the population, </w:t>
      </w:r>
      <w:r w:rsidRPr="003D4FF0">
        <w:rPr>
          <w:rFonts w:ascii="Times New Roman" w:hAnsi="Times New Roman" w:cs="Times New Roman"/>
          <w:color w:val="000000" w:themeColor="text1"/>
          <w:sz w:val="24"/>
          <w:szCs w:val="24"/>
        </w:rPr>
        <w:lastRenderedPageBreak/>
        <w:t xml:space="preserve">which is obese, has been found to have a higher risk of developing the disease. However, studies </w:t>
      </w:r>
      <w:r w:rsidR="008E3E47" w:rsidRPr="003D4FF0">
        <w:rPr>
          <w:rFonts w:ascii="Times New Roman" w:hAnsi="Times New Roman" w:cs="Times New Roman"/>
          <w:color w:val="000000" w:themeColor="text1"/>
          <w:sz w:val="24"/>
          <w:szCs w:val="24"/>
        </w:rPr>
        <w:t>show</w:t>
      </w:r>
      <w:r w:rsidRPr="003D4FF0">
        <w:rPr>
          <w:rFonts w:ascii="Times New Roman" w:hAnsi="Times New Roman" w:cs="Times New Roman"/>
          <w:color w:val="000000" w:themeColor="text1"/>
          <w:sz w:val="24"/>
          <w:szCs w:val="24"/>
        </w:rPr>
        <w:t xml:space="preserve"> that </w:t>
      </w:r>
      <w:r w:rsidR="00024F5D" w:rsidRPr="003D4FF0">
        <w:rPr>
          <w:rFonts w:ascii="Times New Roman" w:hAnsi="Times New Roman" w:cs="Times New Roman"/>
          <w:color w:val="000000" w:themeColor="text1"/>
          <w:sz w:val="24"/>
          <w:szCs w:val="24"/>
        </w:rPr>
        <w:t>breastfeeding is one factor that reduces the risk of developing rheumatoid arthritis.</w:t>
      </w:r>
      <w:r w:rsidR="008E3E47" w:rsidRPr="003D4FF0">
        <w:rPr>
          <w:rFonts w:ascii="Times New Roman" w:hAnsi="Times New Roman" w:cs="Times New Roman"/>
          <w:color w:val="000000" w:themeColor="text1"/>
          <w:sz w:val="24"/>
          <w:szCs w:val="24"/>
        </w:rPr>
        <w:t xml:space="preserve"> Women who breastfeed their babies are less exposed to the disease than those who do not. </w:t>
      </w:r>
    </w:p>
    <w:p w:rsidR="00F95224"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Plan</w:t>
      </w:r>
    </w:p>
    <w:p w:rsidR="00FB59E8"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Differential Diagnos</w:t>
      </w:r>
      <w:r w:rsidR="007B06F8" w:rsidRPr="003D4FF0">
        <w:rPr>
          <w:rFonts w:ascii="Times New Roman" w:hAnsi="Times New Roman" w:cs="Times New Roman"/>
          <w:b/>
          <w:bCs/>
          <w:color w:val="000000" w:themeColor="text1"/>
          <w:sz w:val="24"/>
          <w:szCs w:val="24"/>
        </w:rPr>
        <w:t>e</w:t>
      </w:r>
      <w:r w:rsidRPr="003D4FF0">
        <w:rPr>
          <w:rFonts w:ascii="Times New Roman" w:hAnsi="Times New Roman" w:cs="Times New Roman"/>
          <w:b/>
          <w:bCs/>
          <w:color w:val="000000" w:themeColor="text1"/>
          <w:sz w:val="24"/>
          <w:szCs w:val="24"/>
        </w:rPr>
        <w:t>s</w:t>
      </w:r>
    </w:p>
    <w:p w:rsidR="007B06F8" w:rsidRPr="003D4FF0" w:rsidRDefault="008572C6" w:rsidP="003D4FF0">
      <w:pPr>
        <w:pStyle w:val="ListParagraph"/>
        <w:numPr>
          <w:ilvl w:val="0"/>
          <w:numId w:val="2"/>
        </w:numPr>
        <w:spacing w:after="0" w:line="480" w:lineRule="auto"/>
        <w:ind w:left="0" w:firstLine="0"/>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Vial Polyarthritis</w:t>
      </w:r>
    </w:p>
    <w:p w:rsidR="007B06F8"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 xml:space="preserve">There are various </w:t>
      </w:r>
      <w:r w:rsidR="00EA766C" w:rsidRPr="003D4FF0">
        <w:rPr>
          <w:rFonts w:ascii="Times New Roman" w:hAnsi="Times New Roman" w:cs="Times New Roman"/>
          <w:color w:val="000000" w:themeColor="text1"/>
          <w:sz w:val="24"/>
          <w:szCs w:val="24"/>
        </w:rPr>
        <w:t>viral infections such as hepatitis B, parvovirus B19, and rubella, which causes polyarthritis, which may be mistakenly confused with rheumatoid arthritis. However, this condition is short-lived and last for days or a few weeks. Viral arthritis is a condition that presents with inflammation of the joints caused by viral infections. The disease also presents with stiffness, joint pain, and limited range of motion, presenting with rheumatoid arthritis. Serological tests can help in distinguishing this condition from rheumatoid arthritis.</w:t>
      </w:r>
      <w:r w:rsidR="00046A34" w:rsidRPr="003D4FF0">
        <w:rPr>
          <w:rFonts w:ascii="Times New Roman" w:hAnsi="Times New Roman" w:cs="Times New Roman"/>
          <w:color w:val="000000" w:themeColor="text1"/>
          <w:sz w:val="24"/>
          <w:szCs w:val="24"/>
        </w:rPr>
        <w:t xml:space="preserve"> (Alpay-Kanitez, Celik&amp; Bes, 2019)</w:t>
      </w:r>
      <w:r w:rsidR="00EA766C" w:rsidRPr="003D4FF0">
        <w:rPr>
          <w:rFonts w:ascii="Times New Roman" w:hAnsi="Times New Roman" w:cs="Times New Roman"/>
          <w:color w:val="000000" w:themeColor="text1"/>
          <w:sz w:val="24"/>
          <w:szCs w:val="24"/>
        </w:rPr>
        <w:t xml:space="preserve"> The absence of ACPA in the patient is useful in excluding this condition as the actual diagnosis.  </w:t>
      </w:r>
    </w:p>
    <w:p w:rsidR="00EA766C" w:rsidRPr="003D4FF0" w:rsidRDefault="008572C6" w:rsidP="003D4FF0">
      <w:pPr>
        <w:pStyle w:val="ListParagraph"/>
        <w:numPr>
          <w:ilvl w:val="0"/>
          <w:numId w:val="2"/>
        </w:numPr>
        <w:spacing w:after="0" w:line="480" w:lineRule="auto"/>
        <w:ind w:left="0" w:firstLine="0"/>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Osteoarthritis</w:t>
      </w:r>
    </w:p>
    <w:p w:rsidR="00C8320F"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 xml:space="preserve">Osteoarthritis is a common form of arthritis that occurs when cartilages of the bone are destroyed. The condition affects the joints of the spine, hips, knees, and hands. In patients who are in their </w:t>
      </w:r>
      <w:r w:rsidR="00E74406" w:rsidRPr="003D4FF0">
        <w:rPr>
          <w:rFonts w:ascii="Times New Roman" w:hAnsi="Times New Roman" w:cs="Times New Roman"/>
          <w:color w:val="000000" w:themeColor="text1"/>
          <w:sz w:val="24"/>
          <w:szCs w:val="24"/>
        </w:rPr>
        <w:t>mid-adulthood</w:t>
      </w:r>
      <w:r w:rsidRPr="003D4FF0">
        <w:rPr>
          <w:rFonts w:ascii="Times New Roman" w:hAnsi="Times New Roman" w:cs="Times New Roman"/>
          <w:color w:val="000000" w:themeColor="text1"/>
          <w:sz w:val="24"/>
          <w:szCs w:val="24"/>
        </w:rPr>
        <w:t xml:space="preserve">, </w:t>
      </w:r>
      <w:r w:rsidR="00E74406" w:rsidRPr="003D4FF0">
        <w:rPr>
          <w:rFonts w:ascii="Times New Roman" w:hAnsi="Times New Roman" w:cs="Times New Roman"/>
          <w:color w:val="000000" w:themeColor="text1"/>
          <w:sz w:val="24"/>
          <w:szCs w:val="24"/>
        </w:rPr>
        <w:t xml:space="preserve">the condition can be confused with rheumatoid arthritis due to impacts on the hands' joints. </w:t>
      </w:r>
      <w:r w:rsidRPr="003D4FF0">
        <w:rPr>
          <w:rFonts w:ascii="Times New Roman" w:hAnsi="Times New Roman" w:cs="Times New Roman"/>
          <w:color w:val="000000" w:themeColor="text1"/>
          <w:sz w:val="24"/>
          <w:szCs w:val="24"/>
        </w:rPr>
        <w:t>Osteoarthritis of the fingers impacts the distal interphalangeal joints linked to Heberden's nodes</w:t>
      </w:r>
      <w:r w:rsidR="00350CA7" w:rsidRPr="003D4FF0">
        <w:rPr>
          <w:rFonts w:ascii="Times New Roman" w:hAnsi="Times New Roman" w:cs="Times New Roman"/>
          <w:color w:val="000000" w:themeColor="text1"/>
          <w:sz w:val="24"/>
          <w:szCs w:val="24"/>
        </w:rPr>
        <w:t xml:space="preserve"> (Chen et al., 2017)</w:t>
      </w:r>
      <w:r w:rsidRPr="003D4FF0">
        <w:rPr>
          <w:rFonts w:ascii="Times New Roman" w:hAnsi="Times New Roman" w:cs="Times New Roman"/>
          <w:color w:val="000000" w:themeColor="text1"/>
          <w:sz w:val="24"/>
          <w:szCs w:val="24"/>
        </w:rPr>
        <w:t xml:space="preserve">. However, rheumatoid arthritis affects proximal interphalangeal joints and is not linked to Heberden's nodes. The joints' swellings </w:t>
      </w:r>
      <w:r w:rsidR="00FB65FD" w:rsidRPr="003D4FF0">
        <w:rPr>
          <w:rFonts w:ascii="Times New Roman" w:hAnsi="Times New Roman" w:cs="Times New Roman"/>
          <w:color w:val="000000" w:themeColor="text1"/>
          <w:sz w:val="24"/>
          <w:szCs w:val="24"/>
        </w:rPr>
        <w:t>are</w:t>
      </w:r>
      <w:r w:rsidRPr="003D4FF0">
        <w:rPr>
          <w:rFonts w:ascii="Times New Roman" w:hAnsi="Times New Roman" w:cs="Times New Roman"/>
          <w:color w:val="000000" w:themeColor="text1"/>
          <w:sz w:val="24"/>
          <w:szCs w:val="24"/>
        </w:rPr>
        <w:t xml:space="preserve"> bony and hard in Osteoarthritis, while in rheumatoid arthritis, it is tender, boggy, warm, and soft, which distinguishes the two conditions.</w:t>
      </w:r>
    </w:p>
    <w:p w:rsidR="00EA766C" w:rsidRPr="003D4FF0" w:rsidRDefault="008572C6" w:rsidP="003D4FF0">
      <w:pPr>
        <w:pStyle w:val="ListParagraph"/>
        <w:numPr>
          <w:ilvl w:val="0"/>
          <w:numId w:val="2"/>
        </w:numPr>
        <w:spacing w:after="0" w:line="480" w:lineRule="auto"/>
        <w:ind w:left="0" w:firstLine="0"/>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 xml:space="preserve">Carpal Tunnel Syndrome </w:t>
      </w:r>
    </w:p>
    <w:p w:rsidR="00C8320F"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lastRenderedPageBreak/>
        <w:t>Carpal tunnel syndrome (CTS) is a condition that presents with weakness, tingling sensation, and numbness of the hand due to compression of the median nerve</w:t>
      </w:r>
      <w:r w:rsidR="00350CA7" w:rsidRPr="003D4FF0">
        <w:rPr>
          <w:rFonts w:ascii="Times New Roman" w:hAnsi="Times New Roman" w:cs="Times New Roman"/>
          <w:color w:val="000000" w:themeColor="text1"/>
          <w:sz w:val="24"/>
          <w:szCs w:val="24"/>
        </w:rPr>
        <w:t xml:space="preserve"> (Genova et al., 2020)</w:t>
      </w:r>
      <w:r w:rsidRPr="003D4FF0">
        <w:rPr>
          <w:rFonts w:ascii="Times New Roman" w:hAnsi="Times New Roman" w:cs="Times New Roman"/>
          <w:color w:val="000000" w:themeColor="text1"/>
          <w:sz w:val="24"/>
          <w:szCs w:val="24"/>
        </w:rPr>
        <w:t xml:space="preserve">. Wrist and hand pains are a symptom that presents in CTS and rheumatoid arthritis. More so, in rheumatoid arthritis, the presence of </w:t>
      </w:r>
      <w:r w:rsidR="00FB65FD" w:rsidRPr="003D4FF0">
        <w:rPr>
          <w:rFonts w:ascii="Times New Roman" w:hAnsi="Times New Roman" w:cs="Times New Roman"/>
          <w:color w:val="000000" w:themeColor="text1"/>
          <w:sz w:val="24"/>
          <w:szCs w:val="24"/>
        </w:rPr>
        <w:t>synovitis in the wrist may lead to the entrapment of the median nerve, leading to the presentation of CTS features. Therefore, the existence of CTS in the patient does not enhance the exclusion of rheumatoid arthritis.</w:t>
      </w:r>
    </w:p>
    <w:p w:rsidR="00FB65FD"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Diagnostic Tests</w:t>
      </w:r>
    </w:p>
    <w:p w:rsidR="00FB65F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The primary strategies for enhancing the diagnosis of rheumatoid arthritis are lab tests, which involve blood tests. These tests include:</w:t>
      </w:r>
    </w:p>
    <w:p w:rsidR="00FB65FD" w:rsidRPr="003D4FF0" w:rsidRDefault="008572C6" w:rsidP="003D4FF0">
      <w:pPr>
        <w:pStyle w:val="ListParagraph"/>
        <w:numPr>
          <w:ilvl w:val="0"/>
          <w:numId w:val="4"/>
        </w:numPr>
        <w:spacing w:after="0" w:line="480" w:lineRule="auto"/>
        <w:ind w:left="0" w:firstLine="0"/>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Antibody tests- This test uses this test to evaluate the presence of proteins that reveal the presence of rheumatoid arthritis. The proteins include rheumatoid factor (high levels of more than 20u/ml suggest the disease), anti-CPP (levels more than 20u/ml suggest the condition), and antinuclear antibodies (positive results show the presence of the disease)</w:t>
      </w:r>
      <w:r w:rsidR="00350CA7" w:rsidRPr="003D4FF0">
        <w:rPr>
          <w:rFonts w:ascii="Times New Roman" w:hAnsi="Times New Roman" w:cs="Times New Roman"/>
          <w:color w:val="000000" w:themeColor="text1"/>
          <w:sz w:val="24"/>
          <w:szCs w:val="24"/>
        </w:rPr>
        <w:t xml:space="preserve"> (Heidari, 2011)</w:t>
      </w:r>
      <w:r w:rsidRPr="003D4FF0">
        <w:rPr>
          <w:rFonts w:ascii="Times New Roman" w:hAnsi="Times New Roman" w:cs="Times New Roman"/>
          <w:color w:val="000000" w:themeColor="text1"/>
          <w:sz w:val="24"/>
          <w:szCs w:val="24"/>
        </w:rPr>
        <w:t xml:space="preserve">. </w:t>
      </w:r>
    </w:p>
    <w:p w:rsidR="00FB65FD" w:rsidRPr="003D4FF0" w:rsidRDefault="008572C6" w:rsidP="003D4FF0">
      <w:pPr>
        <w:pStyle w:val="ListParagraph"/>
        <w:numPr>
          <w:ilvl w:val="0"/>
          <w:numId w:val="4"/>
        </w:numPr>
        <w:spacing w:after="0" w:line="480" w:lineRule="auto"/>
        <w:ind w:left="0" w:firstLine="0"/>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Complete blood count- this test enhances the evaluation of anemia, which is common in rheumatoid arthritis. The levels of white blood cells, red blood cells, platelets, hemoglobin, and hematocrit are evaluated.</w:t>
      </w:r>
    </w:p>
    <w:p w:rsidR="00FB65FD" w:rsidRPr="003D4FF0" w:rsidRDefault="008572C6" w:rsidP="003D4FF0">
      <w:pPr>
        <w:spacing w:after="0" w:line="480" w:lineRule="auto"/>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Also, there are imaging tests that are ca</w:t>
      </w:r>
      <w:r w:rsidR="00E20B5A" w:rsidRPr="003D4FF0">
        <w:rPr>
          <w:rFonts w:ascii="Times New Roman" w:hAnsi="Times New Roman" w:cs="Times New Roman"/>
          <w:color w:val="000000" w:themeColor="text1"/>
          <w:sz w:val="24"/>
          <w:szCs w:val="24"/>
        </w:rPr>
        <w:t>r</w:t>
      </w:r>
      <w:r w:rsidRPr="003D4FF0">
        <w:rPr>
          <w:rFonts w:ascii="Times New Roman" w:hAnsi="Times New Roman" w:cs="Times New Roman"/>
          <w:color w:val="000000" w:themeColor="text1"/>
          <w:sz w:val="24"/>
          <w:szCs w:val="24"/>
        </w:rPr>
        <w:t xml:space="preserve">ried out </w:t>
      </w:r>
      <w:r w:rsidR="00E20B5A" w:rsidRPr="003D4FF0">
        <w:rPr>
          <w:rFonts w:ascii="Times New Roman" w:hAnsi="Times New Roman" w:cs="Times New Roman"/>
          <w:color w:val="000000" w:themeColor="text1"/>
          <w:sz w:val="24"/>
          <w:szCs w:val="24"/>
        </w:rPr>
        <w:t>to establish the presence of the disease. The tests include:</w:t>
      </w:r>
    </w:p>
    <w:p w:rsidR="00E20B5A" w:rsidRPr="003D4FF0" w:rsidRDefault="008572C6" w:rsidP="003D4FF0">
      <w:pPr>
        <w:pStyle w:val="ListParagraph"/>
        <w:numPr>
          <w:ilvl w:val="0"/>
          <w:numId w:val="5"/>
        </w:numPr>
        <w:spacing w:after="0" w:line="480" w:lineRule="auto"/>
        <w:ind w:left="0" w:firstLine="0"/>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X-ray- this imaging test reveals the presence of destruction on the joints in the form of images. More so, it can reveal the extent of the damages caused to the joints.</w:t>
      </w:r>
    </w:p>
    <w:p w:rsidR="00E20B5A" w:rsidRPr="003D4FF0" w:rsidRDefault="008572C6" w:rsidP="003D4FF0">
      <w:pPr>
        <w:pStyle w:val="ListParagraph"/>
        <w:numPr>
          <w:ilvl w:val="0"/>
          <w:numId w:val="5"/>
        </w:numPr>
        <w:spacing w:after="0" w:line="480" w:lineRule="auto"/>
        <w:ind w:left="0" w:firstLine="0"/>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Ultrasound and Magnetic resonance imaging (MRI)- these imaging tests provide more detailed images of the joints</w:t>
      </w:r>
      <w:r w:rsidR="00350CA7" w:rsidRPr="003D4FF0">
        <w:rPr>
          <w:rFonts w:ascii="Times New Roman" w:hAnsi="Times New Roman" w:cs="Times New Roman"/>
          <w:color w:val="000000" w:themeColor="text1"/>
          <w:sz w:val="24"/>
          <w:szCs w:val="24"/>
        </w:rPr>
        <w:t xml:space="preserve"> (Heidari, 2011)</w:t>
      </w:r>
      <w:r w:rsidRPr="003D4FF0">
        <w:rPr>
          <w:rFonts w:ascii="Times New Roman" w:hAnsi="Times New Roman" w:cs="Times New Roman"/>
          <w:color w:val="000000" w:themeColor="text1"/>
          <w:sz w:val="24"/>
          <w:szCs w:val="24"/>
        </w:rPr>
        <w:t>. They show the extent to which the joints have been damaged.</w:t>
      </w:r>
    </w:p>
    <w:p w:rsidR="00E20B5A" w:rsidRPr="003D4FF0" w:rsidRDefault="008572C6" w:rsidP="003D4FF0">
      <w:pPr>
        <w:pStyle w:val="ListParagraph"/>
        <w:numPr>
          <w:ilvl w:val="0"/>
          <w:numId w:val="5"/>
        </w:numPr>
        <w:spacing w:after="0" w:line="480" w:lineRule="auto"/>
        <w:ind w:left="0" w:firstLine="0"/>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lastRenderedPageBreak/>
        <w:t>CT (computed tomography) scan- this test is not used to diagnose rheumatoid arthritis. However, it is significant in enhancing early recognition of the disease in the patient.</w:t>
      </w:r>
    </w:p>
    <w:p w:rsidR="00E20B5A"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Medical Management</w:t>
      </w:r>
    </w:p>
    <w:p w:rsidR="00E20B5A"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The medical management of the patient involves pharmacological interventions that are involved in the treatment process. Arava</w:t>
      </w:r>
      <w:r w:rsidR="002307B7" w:rsidRPr="003D4FF0">
        <w:rPr>
          <w:rFonts w:ascii="Times New Roman" w:hAnsi="Times New Roman" w:cs="Times New Roman"/>
          <w:color w:val="000000" w:themeColor="text1"/>
          <w:sz w:val="24"/>
          <w:szCs w:val="24"/>
        </w:rPr>
        <w:t xml:space="preserve">(leflunomide) </w:t>
      </w:r>
      <w:r w:rsidRPr="003D4FF0">
        <w:rPr>
          <w:rFonts w:ascii="Times New Roman" w:hAnsi="Times New Roman" w:cs="Times New Roman"/>
          <w:color w:val="000000" w:themeColor="text1"/>
          <w:sz w:val="24"/>
          <w:szCs w:val="24"/>
        </w:rPr>
        <w:t xml:space="preserve">20 mg per oral is one of the medications used to treat the condition. This drug is </w:t>
      </w:r>
      <w:r w:rsidR="002307B7" w:rsidRPr="003D4FF0">
        <w:rPr>
          <w:rFonts w:ascii="Times New Roman" w:hAnsi="Times New Roman" w:cs="Times New Roman"/>
          <w:color w:val="000000" w:themeColor="text1"/>
          <w:sz w:val="24"/>
          <w:szCs w:val="24"/>
        </w:rPr>
        <w:t>a disease</w:t>
      </w:r>
      <w:r w:rsidRPr="003D4FF0">
        <w:rPr>
          <w:rFonts w:ascii="Times New Roman" w:hAnsi="Times New Roman" w:cs="Times New Roman"/>
          <w:color w:val="000000" w:themeColor="text1"/>
          <w:sz w:val="24"/>
          <w:szCs w:val="24"/>
        </w:rPr>
        <w:t xml:space="preserve">-modifying antirheumatic drug that blocks the synthesis of a pyrimidine to suppress the inflammatory process. </w:t>
      </w:r>
      <w:r w:rsidR="005F54CE" w:rsidRPr="003D4FF0">
        <w:rPr>
          <w:rFonts w:ascii="Times New Roman" w:hAnsi="Times New Roman" w:cs="Times New Roman"/>
          <w:color w:val="000000" w:themeColor="text1"/>
          <w:sz w:val="24"/>
          <w:szCs w:val="24"/>
        </w:rPr>
        <w:t>Arava's nursing consideration includes monitoring signs of hepatotoxicity such as jaundice, abdominal pain, loss of appetite, rashes, and fever</w:t>
      </w:r>
      <w:r w:rsidR="00350CA7" w:rsidRPr="003D4FF0">
        <w:rPr>
          <w:rFonts w:ascii="Times New Roman" w:hAnsi="Times New Roman" w:cs="Times New Roman"/>
          <w:color w:val="000000" w:themeColor="text1"/>
          <w:sz w:val="24"/>
          <w:szCs w:val="24"/>
        </w:rPr>
        <w:t xml:space="preserve"> (Kohler et al., 2019)</w:t>
      </w:r>
      <w:r w:rsidR="005F54CE" w:rsidRPr="003D4FF0">
        <w:rPr>
          <w:rFonts w:ascii="Times New Roman" w:hAnsi="Times New Roman" w:cs="Times New Roman"/>
          <w:color w:val="000000" w:themeColor="text1"/>
          <w:sz w:val="24"/>
          <w:szCs w:val="24"/>
        </w:rPr>
        <w:t xml:space="preserve">. </w:t>
      </w:r>
      <w:r w:rsidR="002307B7" w:rsidRPr="003D4FF0">
        <w:rPr>
          <w:rFonts w:ascii="Times New Roman" w:hAnsi="Times New Roman" w:cs="Times New Roman"/>
          <w:color w:val="000000" w:themeColor="text1"/>
          <w:sz w:val="24"/>
          <w:szCs w:val="24"/>
        </w:rPr>
        <w:t xml:space="preserve">Also, Medrol (methylprednisolone) 2mg per oral is another treatment strategy for the patient. The drug is a synthetic corticosteroid that establishes immunomodulating and anti-inflammatory properties in the body by inhibiting cytokine production. </w:t>
      </w:r>
      <w:r w:rsidR="005F54CE" w:rsidRPr="003D4FF0">
        <w:rPr>
          <w:rFonts w:ascii="Times New Roman" w:hAnsi="Times New Roman" w:cs="Times New Roman"/>
          <w:color w:val="000000" w:themeColor="text1"/>
          <w:sz w:val="24"/>
          <w:szCs w:val="24"/>
        </w:rPr>
        <w:t xml:space="preserve">The nursing consideration for this mediation includes monitoring allergic reactions and toxicity through effective dosing. </w:t>
      </w:r>
      <w:r w:rsidR="0030513C" w:rsidRPr="003D4FF0">
        <w:rPr>
          <w:rFonts w:ascii="Times New Roman" w:hAnsi="Times New Roman" w:cs="Times New Roman"/>
          <w:color w:val="000000" w:themeColor="text1"/>
          <w:sz w:val="24"/>
          <w:szCs w:val="24"/>
        </w:rPr>
        <w:t>Also, the use of NSAIDs such as naproxen, ibuprofen, or aspirin should be used to enhance pain management and manage inflammation of the joints.</w:t>
      </w:r>
    </w:p>
    <w:p w:rsidR="0030513C"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Non-Pharmacological Management</w:t>
      </w:r>
    </w:p>
    <w:p w:rsidR="0030513C"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Physical therapy is one of the management strategies that should be involved in the management of rheumatoid arthritis. Physical therapy should involve the joints' massage to ensure that range of movement and functionality of the joints is enhanced. Also, scheduling the patient for exercise will ensure that the functionality of the joints is enhanced</w:t>
      </w:r>
      <w:r w:rsidR="00CD7407" w:rsidRPr="003D4FF0">
        <w:rPr>
          <w:rFonts w:ascii="Times New Roman" w:hAnsi="Times New Roman" w:cs="Times New Roman"/>
          <w:color w:val="000000" w:themeColor="text1"/>
          <w:sz w:val="24"/>
          <w:szCs w:val="24"/>
        </w:rPr>
        <w:t>. Consistent low impact physical activity such as range of motion exercise, judicious strength training, and aerobic exercises are significant in enhancing muscle atrophy, contractures, and preserves joint function</w:t>
      </w:r>
      <w:r w:rsidR="00350CA7" w:rsidRPr="003D4FF0">
        <w:rPr>
          <w:rFonts w:ascii="Times New Roman" w:hAnsi="Times New Roman" w:cs="Times New Roman"/>
          <w:color w:val="000000" w:themeColor="text1"/>
          <w:sz w:val="24"/>
          <w:szCs w:val="24"/>
        </w:rPr>
        <w:t xml:space="preserve"> (Kohler et al., 2019)</w:t>
      </w:r>
      <w:r w:rsidR="00CD7407" w:rsidRPr="003D4FF0">
        <w:rPr>
          <w:rFonts w:ascii="Times New Roman" w:hAnsi="Times New Roman" w:cs="Times New Roman"/>
          <w:color w:val="000000" w:themeColor="text1"/>
          <w:sz w:val="24"/>
          <w:szCs w:val="24"/>
        </w:rPr>
        <w:t xml:space="preserve">. Hydrotherapy and heat, active and passive exercises, and relaxation strategies are also vital in the management. More so, researchers </w:t>
      </w:r>
      <w:r w:rsidR="00DE4694" w:rsidRPr="003D4FF0">
        <w:rPr>
          <w:rFonts w:ascii="Times New Roman" w:hAnsi="Times New Roman" w:cs="Times New Roman"/>
          <w:color w:val="000000" w:themeColor="text1"/>
          <w:sz w:val="24"/>
          <w:szCs w:val="24"/>
        </w:rPr>
        <w:t>suggest</w:t>
      </w:r>
      <w:r w:rsidR="00CD7407" w:rsidRPr="003D4FF0">
        <w:rPr>
          <w:rFonts w:ascii="Times New Roman" w:hAnsi="Times New Roman" w:cs="Times New Roman"/>
          <w:color w:val="000000" w:themeColor="text1"/>
          <w:sz w:val="24"/>
          <w:szCs w:val="24"/>
        </w:rPr>
        <w:t xml:space="preserve"> that yoga diminishes pain in rheumatoid arthritis.</w:t>
      </w:r>
      <w:r w:rsidRPr="003D4FF0">
        <w:rPr>
          <w:rFonts w:ascii="Times New Roman" w:hAnsi="Times New Roman" w:cs="Times New Roman"/>
          <w:color w:val="000000" w:themeColor="text1"/>
          <w:sz w:val="24"/>
          <w:szCs w:val="24"/>
        </w:rPr>
        <w:t xml:space="preserve"> Also, nutritional therapy, which includes anti-</w:t>
      </w:r>
      <w:r w:rsidRPr="003D4FF0">
        <w:rPr>
          <w:rFonts w:ascii="Times New Roman" w:hAnsi="Times New Roman" w:cs="Times New Roman"/>
          <w:color w:val="000000" w:themeColor="text1"/>
          <w:sz w:val="24"/>
          <w:szCs w:val="24"/>
        </w:rPr>
        <w:lastRenderedPageBreak/>
        <w:t xml:space="preserve">inflammatory nutrients, is essential. The patient should be provided with many vegetables, fruits, whole grains, and fish, while meat should be limited. </w:t>
      </w:r>
      <w:r w:rsidR="00DE4694" w:rsidRPr="003D4FF0">
        <w:rPr>
          <w:rFonts w:ascii="Times New Roman" w:hAnsi="Times New Roman" w:cs="Times New Roman"/>
          <w:color w:val="000000" w:themeColor="text1"/>
          <w:sz w:val="24"/>
          <w:szCs w:val="24"/>
        </w:rPr>
        <w:t xml:space="preserve">Enhancing strict vegetarian and vegan schedules enhance the improvement of the symptoms in rheumatoid arthritis. A vegan diet is linked to the reduction of pain, stiffness, and swelling plus the enhancement of Co-creatinine protein. The removal of a meat diet in the patient can lead to an improvement in managing the symptoms. Diet triggers, such as </w:t>
      </w:r>
      <w:r w:rsidR="00D44ADD" w:rsidRPr="003D4FF0">
        <w:rPr>
          <w:rFonts w:ascii="Times New Roman" w:hAnsi="Times New Roman" w:cs="Times New Roman"/>
          <w:color w:val="000000" w:themeColor="text1"/>
          <w:sz w:val="24"/>
          <w:szCs w:val="24"/>
        </w:rPr>
        <w:t xml:space="preserve">limiting the intake of </w:t>
      </w:r>
      <w:r w:rsidR="00DE4694" w:rsidRPr="003D4FF0">
        <w:rPr>
          <w:rFonts w:ascii="Times New Roman" w:hAnsi="Times New Roman" w:cs="Times New Roman"/>
          <w:color w:val="000000" w:themeColor="text1"/>
          <w:sz w:val="24"/>
          <w:szCs w:val="24"/>
        </w:rPr>
        <w:t>allergic foods</w:t>
      </w:r>
      <w:r w:rsidR="00D44ADD" w:rsidRPr="003D4FF0">
        <w:rPr>
          <w:rFonts w:ascii="Times New Roman" w:hAnsi="Times New Roman" w:cs="Times New Roman"/>
          <w:color w:val="000000" w:themeColor="text1"/>
          <w:sz w:val="24"/>
          <w:szCs w:val="24"/>
        </w:rPr>
        <w:t>, are effective in treating the disease</w:t>
      </w:r>
      <w:r w:rsidR="00350CA7" w:rsidRPr="003D4FF0">
        <w:rPr>
          <w:rFonts w:ascii="Times New Roman" w:hAnsi="Times New Roman" w:cs="Times New Roman"/>
          <w:color w:val="000000" w:themeColor="text1"/>
          <w:sz w:val="24"/>
          <w:szCs w:val="24"/>
        </w:rPr>
        <w:t xml:space="preserve"> (Heidari, 2011)</w:t>
      </w:r>
      <w:r w:rsidR="00D44ADD" w:rsidRPr="003D4FF0">
        <w:rPr>
          <w:rFonts w:ascii="Times New Roman" w:hAnsi="Times New Roman" w:cs="Times New Roman"/>
          <w:color w:val="000000" w:themeColor="text1"/>
          <w:sz w:val="24"/>
          <w:szCs w:val="24"/>
        </w:rPr>
        <w:t>. In general, vegetables and fruits provided a protective function against the development of rheumatoid arthritis. Enhancing the antioxidant status of the patient is significant in the management of the disease. Foods that contain zeaxanthin (green vegetables and beta-cryptoxanthin (citrus fruits) enhance the recovery of the patients from the disease.</w:t>
      </w:r>
    </w:p>
    <w:p w:rsidR="00F56760"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Prognosis</w:t>
      </w:r>
    </w:p>
    <w:p w:rsidR="00F56760"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 xml:space="preserve">The outlook of rheumatoid arthritis </w:t>
      </w:r>
      <w:r w:rsidR="00974E5D" w:rsidRPr="003D4FF0">
        <w:rPr>
          <w:rFonts w:ascii="Times New Roman" w:hAnsi="Times New Roman" w:cs="Times New Roman"/>
          <w:color w:val="000000" w:themeColor="text1"/>
          <w:sz w:val="24"/>
          <w:szCs w:val="24"/>
        </w:rPr>
        <w:t>is dependent on various factors. One of the factors that affect the outcome of the disease is age. The recovery rate of the condition is diminished among the patients who are elderly. The progression of the disease is another factor that affects the outcome. When the disease progresses at a fast rate, it is likely to cause complications earlier, leading to a low recovery rate. The presence of underlying complications is another element that affects progress</w:t>
      </w:r>
      <w:r w:rsidR="00350CA7" w:rsidRPr="003D4FF0">
        <w:rPr>
          <w:rFonts w:ascii="Times New Roman" w:hAnsi="Times New Roman" w:cs="Times New Roman"/>
          <w:color w:val="000000" w:themeColor="text1"/>
          <w:sz w:val="24"/>
          <w:szCs w:val="24"/>
        </w:rPr>
        <w:t xml:space="preserve"> (Kohler et al., 2019)</w:t>
      </w:r>
      <w:r w:rsidR="00974E5D" w:rsidRPr="003D4FF0">
        <w:rPr>
          <w:rFonts w:ascii="Times New Roman" w:hAnsi="Times New Roman" w:cs="Times New Roman"/>
          <w:color w:val="000000" w:themeColor="text1"/>
          <w:sz w:val="24"/>
          <w:szCs w:val="24"/>
        </w:rPr>
        <w:t>. Treatment is difficult for patients who have underlying complications. More so, the lifestyle of the patient is another significant determinant of the outcome of the disease. A patient who continues with smoking has a low chance of recovery from the disease. More so, lack of adherence to medications is another factor that leads to a low recovery rate among patients. Nutritional adherence helps patients to have positive outcomes and recover. When the disease is discovered earlier, and treatment commenced in its initial stage, recovery of the patient is enhanced.</w:t>
      </w:r>
    </w:p>
    <w:p w:rsidR="00974E5D"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lastRenderedPageBreak/>
        <w:t>Follow-up/ Referral</w:t>
      </w:r>
    </w:p>
    <w:p w:rsidR="00974E5D"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The patients should be followed up within two months after treatment. However, suppose the patient has a positive outcome, and she does not have any complications. In that case, the follow-up should be PRN when there are any complications or concerns. However, if the patient does not recover, a referral to the orthopedic specialist for further investigation should be done.</w:t>
      </w:r>
    </w:p>
    <w:p w:rsidR="00974E5D"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t>Patient Education</w:t>
      </w:r>
    </w:p>
    <w:p w:rsidR="00974E5D" w:rsidRPr="003D4FF0" w:rsidRDefault="008572C6" w:rsidP="00C45DDD">
      <w:pPr>
        <w:spacing w:after="0" w:line="480" w:lineRule="auto"/>
        <w:ind w:firstLine="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The patient should be informed to adhere to medications provided without discontinuation. The doctor should only do discontinuation of the medications. Also, inform the patient about the significance of exercise for 30 minutes every day. The patient should be encouraged to maintain hygiene, such as hand washing to prevent infections and prevent immune reactions</w:t>
      </w:r>
      <w:r w:rsidR="00350CA7" w:rsidRPr="003D4FF0">
        <w:rPr>
          <w:rFonts w:ascii="Times New Roman" w:hAnsi="Times New Roman" w:cs="Times New Roman"/>
          <w:color w:val="000000" w:themeColor="text1"/>
          <w:sz w:val="24"/>
          <w:szCs w:val="24"/>
        </w:rPr>
        <w:t xml:space="preserve"> (Kohler et al., 2019)</w:t>
      </w:r>
      <w:r w:rsidRPr="003D4FF0">
        <w:rPr>
          <w:rFonts w:ascii="Times New Roman" w:hAnsi="Times New Roman" w:cs="Times New Roman"/>
          <w:color w:val="000000" w:themeColor="text1"/>
          <w:sz w:val="24"/>
          <w:szCs w:val="24"/>
        </w:rPr>
        <w:t xml:space="preserve">. Hydration and resting should be encouraged. The patient should be informed to notify the health care institution in case of complications or dial 911 </w:t>
      </w:r>
      <w:r w:rsidR="004C2581" w:rsidRPr="003D4FF0">
        <w:rPr>
          <w:rFonts w:ascii="Times New Roman" w:hAnsi="Times New Roman" w:cs="Times New Roman"/>
          <w:color w:val="000000" w:themeColor="text1"/>
          <w:sz w:val="24"/>
          <w:szCs w:val="24"/>
        </w:rPr>
        <w:t>in</w:t>
      </w:r>
      <w:r w:rsidR="004C2581">
        <w:rPr>
          <w:rFonts w:ascii="Times New Roman" w:hAnsi="Times New Roman" w:cs="Times New Roman"/>
          <w:color w:val="000000" w:themeColor="text1"/>
          <w:sz w:val="24"/>
          <w:szCs w:val="24"/>
        </w:rPr>
        <w:t xml:space="preserve"> </w:t>
      </w:r>
      <w:r w:rsidR="004C2581" w:rsidRPr="003D4FF0">
        <w:rPr>
          <w:rFonts w:ascii="Times New Roman" w:hAnsi="Times New Roman" w:cs="Times New Roman"/>
          <w:color w:val="000000" w:themeColor="text1"/>
          <w:sz w:val="24"/>
          <w:szCs w:val="24"/>
        </w:rPr>
        <w:t>case</w:t>
      </w:r>
      <w:r w:rsidRPr="003D4FF0">
        <w:rPr>
          <w:rFonts w:ascii="Times New Roman" w:hAnsi="Times New Roman" w:cs="Times New Roman"/>
          <w:color w:val="000000" w:themeColor="text1"/>
          <w:sz w:val="24"/>
          <w:szCs w:val="24"/>
        </w:rPr>
        <w:t xml:space="preserve"> of an emergency.</w:t>
      </w:r>
    </w:p>
    <w:p w:rsidR="003D4FF0" w:rsidRDefault="003D4FF0" w:rsidP="00C45DDD">
      <w:pPr>
        <w:spacing w:after="0" w:line="480" w:lineRule="auto"/>
        <w:ind w:firstLine="851"/>
        <w:rPr>
          <w:rFonts w:ascii="Times New Roman" w:hAnsi="Times New Roman" w:cs="Times New Roman"/>
          <w:b/>
          <w:bCs/>
          <w:color w:val="000000" w:themeColor="text1"/>
          <w:sz w:val="24"/>
          <w:szCs w:val="24"/>
        </w:rPr>
      </w:pPr>
    </w:p>
    <w:p w:rsidR="003D4FF0" w:rsidRDefault="003D4FF0" w:rsidP="00C45DDD">
      <w:pPr>
        <w:spacing w:after="0" w:line="480" w:lineRule="auto"/>
        <w:ind w:firstLine="851"/>
        <w:rPr>
          <w:rFonts w:ascii="Times New Roman" w:hAnsi="Times New Roman" w:cs="Times New Roman"/>
          <w:b/>
          <w:bCs/>
          <w:color w:val="000000" w:themeColor="text1"/>
          <w:sz w:val="24"/>
          <w:szCs w:val="24"/>
        </w:rPr>
      </w:pPr>
    </w:p>
    <w:p w:rsidR="003D4FF0" w:rsidRDefault="003D4FF0" w:rsidP="003D4FF0">
      <w:pPr>
        <w:spacing w:after="0" w:line="480" w:lineRule="auto"/>
        <w:rPr>
          <w:rFonts w:ascii="Times New Roman" w:hAnsi="Times New Roman" w:cs="Times New Roman"/>
          <w:b/>
          <w:bCs/>
          <w:color w:val="000000" w:themeColor="text1"/>
          <w:sz w:val="24"/>
          <w:szCs w:val="24"/>
        </w:rPr>
      </w:pPr>
    </w:p>
    <w:p w:rsidR="003D4FF0" w:rsidRDefault="003D4FF0" w:rsidP="003D4FF0">
      <w:pPr>
        <w:spacing w:after="0" w:line="480" w:lineRule="auto"/>
        <w:rPr>
          <w:rFonts w:ascii="Times New Roman" w:hAnsi="Times New Roman" w:cs="Times New Roman"/>
          <w:b/>
          <w:bCs/>
          <w:color w:val="000000" w:themeColor="text1"/>
          <w:sz w:val="24"/>
          <w:szCs w:val="24"/>
        </w:rPr>
      </w:pPr>
    </w:p>
    <w:p w:rsidR="003D4FF0" w:rsidRDefault="003D4FF0" w:rsidP="003D4FF0">
      <w:pPr>
        <w:spacing w:after="0" w:line="480" w:lineRule="auto"/>
        <w:rPr>
          <w:rFonts w:ascii="Times New Roman" w:hAnsi="Times New Roman" w:cs="Times New Roman"/>
          <w:b/>
          <w:bCs/>
          <w:color w:val="000000" w:themeColor="text1"/>
          <w:sz w:val="24"/>
          <w:szCs w:val="24"/>
        </w:rPr>
      </w:pPr>
    </w:p>
    <w:p w:rsidR="003D4FF0" w:rsidRDefault="003D4FF0" w:rsidP="003D4FF0">
      <w:pPr>
        <w:spacing w:after="0" w:line="480" w:lineRule="auto"/>
        <w:rPr>
          <w:rFonts w:ascii="Times New Roman" w:hAnsi="Times New Roman" w:cs="Times New Roman"/>
          <w:b/>
          <w:bCs/>
          <w:color w:val="000000" w:themeColor="text1"/>
          <w:sz w:val="24"/>
          <w:szCs w:val="24"/>
        </w:rPr>
      </w:pPr>
    </w:p>
    <w:p w:rsidR="0050205E" w:rsidRDefault="0050205E" w:rsidP="003D4FF0">
      <w:pPr>
        <w:spacing w:after="0" w:line="480" w:lineRule="auto"/>
        <w:rPr>
          <w:rFonts w:ascii="Times New Roman" w:hAnsi="Times New Roman" w:cs="Times New Roman"/>
          <w:b/>
          <w:bCs/>
          <w:color w:val="000000" w:themeColor="text1"/>
          <w:sz w:val="24"/>
          <w:szCs w:val="24"/>
        </w:rPr>
      </w:pPr>
    </w:p>
    <w:p w:rsidR="004C2581" w:rsidRDefault="004C2581" w:rsidP="003D4FF0">
      <w:pPr>
        <w:spacing w:after="0" w:line="480" w:lineRule="auto"/>
        <w:jc w:val="center"/>
        <w:rPr>
          <w:rFonts w:ascii="Times New Roman" w:hAnsi="Times New Roman" w:cs="Times New Roman"/>
          <w:b/>
          <w:bCs/>
          <w:color w:val="000000" w:themeColor="text1"/>
          <w:sz w:val="24"/>
          <w:szCs w:val="24"/>
        </w:rPr>
      </w:pPr>
    </w:p>
    <w:p w:rsidR="004C2581" w:rsidRDefault="004C2581" w:rsidP="003D4FF0">
      <w:pPr>
        <w:spacing w:after="0" w:line="480" w:lineRule="auto"/>
        <w:jc w:val="center"/>
        <w:rPr>
          <w:rFonts w:ascii="Times New Roman" w:hAnsi="Times New Roman" w:cs="Times New Roman"/>
          <w:b/>
          <w:bCs/>
          <w:color w:val="000000" w:themeColor="text1"/>
          <w:sz w:val="24"/>
          <w:szCs w:val="24"/>
        </w:rPr>
      </w:pPr>
    </w:p>
    <w:p w:rsidR="004C2581" w:rsidRDefault="004C2581" w:rsidP="003D4FF0">
      <w:pPr>
        <w:spacing w:after="0" w:line="480" w:lineRule="auto"/>
        <w:jc w:val="center"/>
        <w:rPr>
          <w:rFonts w:ascii="Times New Roman" w:hAnsi="Times New Roman" w:cs="Times New Roman"/>
          <w:b/>
          <w:bCs/>
          <w:color w:val="000000" w:themeColor="text1"/>
          <w:sz w:val="24"/>
          <w:szCs w:val="24"/>
        </w:rPr>
      </w:pPr>
    </w:p>
    <w:p w:rsidR="004C2581" w:rsidRDefault="004C2581" w:rsidP="003D4FF0">
      <w:pPr>
        <w:spacing w:after="0" w:line="480" w:lineRule="auto"/>
        <w:jc w:val="center"/>
        <w:rPr>
          <w:rFonts w:ascii="Times New Roman" w:hAnsi="Times New Roman" w:cs="Times New Roman"/>
          <w:b/>
          <w:bCs/>
          <w:color w:val="000000" w:themeColor="text1"/>
          <w:sz w:val="24"/>
          <w:szCs w:val="24"/>
        </w:rPr>
      </w:pPr>
    </w:p>
    <w:p w:rsidR="003D4FF0" w:rsidRPr="003D4FF0" w:rsidRDefault="008572C6" w:rsidP="003D4FF0">
      <w:pPr>
        <w:spacing w:after="0" w:line="480" w:lineRule="auto"/>
        <w:jc w:val="center"/>
        <w:rPr>
          <w:rFonts w:ascii="Times New Roman" w:hAnsi="Times New Roman" w:cs="Times New Roman"/>
          <w:b/>
          <w:bCs/>
          <w:color w:val="000000" w:themeColor="text1"/>
          <w:sz w:val="24"/>
          <w:szCs w:val="24"/>
        </w:rPr>
      </w:pPr>
      <w:r w:rsidRPr="003D4FF0">
        <w:rPr>
          <w:rFonts w:ascii="Times New Roman" w:hAnsi="Times New Roman" w:cs="Times New Roman"/>
          <w:b/>
          <w:bCs/>
          <w:color w:val="000000" w:themeColor="text1"/>
          <w:sz w:val="24"/>
          <w:szCs w:val="24"/>
        </w:rPr>
        <w:lastRenderedPageBreak/>
        <w:t>References</w:t>
      </w:r>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shd w:val="clear" w:color="auto" w:fill="FFFFFF"/>
        </w:rPr>
      </w:pPr>
      <w:r w:rsidRPr="003D4FF0">
        <w:rPr>
          <w:rFonts w:ascii="Times New Roman" w:hAnsi="Times New Roman" w:cs="Times New Roman"/>
          <w:color w:val="000000" w:themeColor="text1"/>
          <w:sz w:val="24"/>
          <w:szCs w:val="24"/>
          <w:shd w:val="clear" w:color="auto" w:fill="FFFFFF"/>
        </w:rPr>
        <w:t xml:space="preserve">Alpay-Kanıtez, N., Çelik, S., &amp; Bes, C. (2018). Polyarthritis and </w:t>
      </w:r>
      <w:r w:rsidR="004C2581">
        <w:rPr>
          <w:rFonts w:ascii="Times New Roman" w:hAnsi="Times New Roman" w:cs="Times New Roman"/>
          <w:color w:val="000000" w:themeColor="text1"/>
          <w:sz w:val="24"/>
          <w:szCs w:val="24"/>
          <w:shd w:val="clear" w:color="auto" w:fill="FFFFFF"/>
        </w:rPr>
        <w:t>its</w:t>
      </w:r>
      <w:r w:rsidRPr="003D4FF0">
        <w:rPr>
          <w:rFonts w:ascii="Times New Roman" w:hAnsi="Times New Roman" w:cs="Times New Roman"/>
          <w:color w:val="000000" w:themeColor="text1"/>
          <w:sz w:val="24"/>
          <w:szCs w:val="24"/>
          <w:shd w:val="clear" w:color="auto" w:fill="FFFFFF"/>
        </w:rPr>
        <w:t xml:space="preserve"> differential diagnosis. </w:t>
      </w:r>
      <w:r w:rsidRPr="003D4FF0">
        <w:rPr>
          <w:rFonts w:ascii="Times New Roman" w:hAnsi="Times New Roman" w:cs="Times New Roman"/>
          <w:i/>
          <w:iCs/>
          <w:color w:val="000000" w:themeColor="text1"/>
          <w:sz w:val="24"/>
          <w:szCs w:val="24"/>
          <w:shd w:val="clear" w:color="auto" w:fill="FFFFFF"/>
        </w:rPr>
        <w:t>European journal of rheumatology</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6</w:t>
      </w:r>
      <w:r w:rsidRPr="003D4FF0">
        <w:rPr>
          <w:rFonts w:ascii="Times New Roman" w:hAnsi="Times New Roman" w:cs="Times New Roman"/>
          <w:color w:val="000000" w:themeColor="text1"/>
          <w:sz w:val="24"/>
          <w:szCs w:val="24"/>
          <w:shd w:val="clear" w:color="auto" w:fill="FFFFFF"/>
        </w:rPr>
        <w:t xml:space="preserve">(4), 167–173. </w:t>
      </w:r>
      <w:hyperlink r:id="rId7" w:history="1">
        <w:r w:rsidRPr="003D4FF0">
          <w:rPr>
            <w:rStyle w:val="Hyperlink"/>
            <w:rFonts w:ascii="Times New Roman" w:hAnsi="Times New Roman" w:cs="Times New Roman"/>
            <w:color w:val="000000" w:themeColor="text1"/>
            <w:sz w:val="24"/>
            <w:szCs w:val="24"/>
            <w:u w:val="none"/>
            <w:shd w:val="clear" w:color="auto" w:fill="FFFFFF"/>
          </w:rPr>
          <w:t>https://doi.org/10.5152/eurjrheum.2019.19145</w:t>
        </w:r>
      </w:hyperlink>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shd w:val="clear" w:color="auto" w:fill="FFFFFF"/>
        </w:rPr>
        <w:t xml:space="preserve">Chen, D., Shen, J., Zhao, W., Wang, T., Han, L., Hamilton, J. L., &amp;Im, H. J. (2017). Osteoarthritis: toward a comprehensive understanding of the pathological mechanism. </w:t>
      </w:r>
      <w:r w:rsidRPr="003D4FF0">
        <w:rPr>
          <w:rFonts w:ascii="Times New Roman" w:hAnsi="Times New Roman" w:cs="Times New Roman"/>
          <w:i/>
          <w:iCs/>
          <w:color w:val="000000" w:themeColor="text1"/>
          <w:sz w:val="24"/>
          <w:szCs w:val="24"/>
          <w:shd w:val="clear" w:color="auto" w:fill="FFFFFF"/>
        </w:rPr>
        <w:t>Bone Research</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5</w:t>
      </w:r>
      <w:r w:rsidRPr="003D4FF0">
        <w:rPr>
          <w:rFonts w:ascii="Times New Roman" w:hAnsi="Times New Roman" w:cs="Times New Roman"/>
          <w:color w:val="000000" w:themeColor="text1"/>
          <w:sz w:val="24"/>
          <w:szCs w:val="24"/>
          <w:shd w:val="clear" w:color="auto" w:fill="FFFFFF"/>
        </w:rPr>
        <w:t>(1), 1-13.</w:t>
      </w:r>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shd w:val="clear" w:color="auto" w:fill="FFFFFF"/>
        </w:rPr>
      </w:pPr>
      <w:r w:rsidRPr="003D4FF0">
        <w:rPr>
          <w:rFonts w:ascii="Times New Roman" w:hAnsi="Times New Roman" w:cs="Times New Roman"/>
          <w:color w:val="000000" w:themeColor="text1"/>
          <w:sz w:val="24"/>
          <w:szCs w:val="24"/>
          <w:shd w:val="clear" w:color="auto" w:fill="FFFFFF"/>
        </w:rPr>
        <w:t>Furst, D. E., &amp; Emery, P. (2014). Rheumatoid arthritis pathophysiology: update on emerging cytokine and cytokine-associated cell targets. </w:t>
      </w:r>
      <w:r w:rsidRPr="003D4FF0">
        <w:rPr>
          <w:rFonts w:ascii="Times New Roman" w:hAnsi="Times New Roman" w:cs="Times New Roman"/>
          <w:i/>
          <w:iCs/>
          <w:color w:val="000000" w:themeColor="text1"/>
          <w:sz w:val="24"/>
          <w:szCs w:val="24"/>
          <w:shd w:val="clear" w:color="auto" w:fill="FFFFFF"/>
        </w:rPr>
        <w:t>Rheumatology (Oxford, England)</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53</w:t>
      </w:r>
      <w:r w:rsidRPr="003D4FF0">
        <w:rPr>
          <w:rFonts w:ascii="Times New Roman" w:hAnsi="Times New Roman" w:cs="Times New Roman"/>
          <w:color w:val="000000" w:themeColor="text1"/>
          <w:sz w:val="24"/>
          <w:szCs w:val="24"/>
          <w:shd w:val="clear" w:color="auto" w:fill="FFFFFF"/>
        </w:rPr>
        <w:t xml:space="preserve">(9), 1560–1569. </w:t>
      </w:r>
      <w:hyperlink r:id="rId8" w:history="1">
        <w:r w:rsidRPr="003D4FF0">
          <w:rPr>
            <w:rStyle w:val="Hyperlink"/>
            <w:rFonts w:ascii="Times New Roman" w:hAnsi="Times New Roman" w:cs="Times New Roman"/>
            <w:color w:val="000000" w:themeColor="text1"/>
            <w:sz w:val="24"/>
            <w:szCs w:val="24"/>
            <w:u w:val="none"/>
            <w:shd w:val="clear" w:color="auto" w:fill="FFFFFF"/>
          </w:rPr>
          <w:t>https://doi.org/10.1093/rheumatology/ket414</w:t>
        </w:r>
      </w:hyperlink>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shd w:val="clear" w:color="auto" w:fill="FFFFFF"/>
        </w:rPr>
      </w:pPr>
      <w:r w:rsidRPr="003D4FF0">
        <w:rPr>
          <w:rFonts w:ascii="Times New Roman" w:hAnsi="Times New Roman" w:cs="Times New Roman"/>
          <w:color w:val="000000" w:themeColor="text1"/>
          <w:sz w:val="24"/>
          <w:szCs w:val="24"/>
          <w:shd w:val="clear" w:color="auto" w:fill="FFFFFF"/>
        </w:rPr>
        <w:t>Genova, A., Dix, O., Saefan, A., Thakur, M., &amp; Hassan, A. (2020). Carpal Tunnel Syndrome: A Review of Literature. </w:t>
      </w:r>
      <w:r w:rsidRPr="003D4FF0">
        <w:rPr>
          <w:rFonts w:ascii="Times New Roman" w:hAnsi="Times New Roman" w:cs="Times New Roman"/>
          <w:i/>
          <w:iCs/>
          <w:color w:val="000000" w:themeColor="text1"/>
          <w:sz w:val="24"/>
          <w:szCs w:val="24"/>
          <w:shd w:val="clear" w:color="auto" w:fill="FFFFFF"/>
        </w:rPr>
        <w:t>Cureus</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12</w:t>
      </w:r>
      <w:r w:rsidRPr="003D4FF0">
        <w:rPr>
          <w:rFonts w:ascii="Times New Roman" w:hAnsi="Times New Roman" w:cs="Times New Roman"/>
          <w:color w:val="000000" w:themeColor="text1"/>
          <w:sz w:val="24"/>
          <w:szCs w:val="24"/>
          <w:shd w:val="clear" w:color="auto" w:fill="FFFFFF"/>
        </w:rPr>
        <w:t xml:space="preserve">(3), e7333. </w:t>
      </w:r>
      <w:hyperlink r:id="rId9" w:history="1">
        <w:r w:rsidRPr="003D4FF0">
          <w:rPr>
            <w:rStyle w:val="Hyperlink"/>
            <w:rFonts w:ascii="Times New Roman" w:hAnsi="Times New Roman" w:cs="Times New Roman"/>
            <w:color w:val="000000" w:themeColor="text1"/>
            <w:sz w:val="24"/>
            <w:szCs w:val="24"/>
            <w:u w:val="none"/>
            <w:shd w:val="clear" w:color="auto" w:fill="FFFFFF"/>
          </w:rPr>
          <w:t>https://doi.org/10.7759/cureus.7333</w:t>
        </w:r>
      </w:hyperlink>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shd w:val="clear" w:color="auto" w:fill="FFFFFF"/>
        </w:rPr>
      </w:pPr>
      <w:r w:rsidRPr="003D4FF0">
        <w:rPr>
          <w:rFonts w:ascii="Times New Roman" w:hAnsi="Times New Roman" w:cs="Times New Roman"/>
          <w:color w:val="000000" w:themeColor="text1"/>
          <w:sz w:val="24"/>
          <w:szCs w:val="24"/>
          <w:shd w:val="clear" w:color="auto" w:fill="FFFFFF"/>
        </w:rPr>
        <w:t>Guo, Q., Wang, Y., Xu, D., Nossent, J., Pavlos, N. J., &amp; Xu, J. (2018). Rheumatoid arthritis: pathological mechanisms and modern pharmacologic therapies. </w:t>
      </w:r>
      <w:r w:rsidRPr="003D4FF0">
        <w:rPr>
          <w:rFonts w:ascii="Times New Roman" w:hAnsi="Times New Roman" w:cs="Times New Roman"/>
          <w:i/>
          <w:iCs/>
          <w:color w:val="000000" w:themeColor="text1"/>
          <w:sz w:val="24"/>
          <w:szCs w:val="24"/>
          <w:shd w:val="clear" w:color="auto" w:fill="FFFFFF"/>
        </w:rPr>
        <w:t>Bone Research</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6</w:t>
      </w:r>
      <w:r w:rsidRPr="003D4FF0">
        <w:rPr>
          <w:rFonts w:ascii="Times New Roman" w:hAnsi="Times New Roman" w:cs="Times New Roman"/>
          <w:color w:val="000000" w:themeColor="text1"/>
          <w:sz w:val="24"/>
          <w:szCs w:val="24"/>
          <w:shd w:val="clear" w:color="auto" w:fill="FFFFFF"/>
        </w:rPr>
        <w:t xml:space="preserve">, 15. </w:t>
      </w:r>
      <w:hyperlink r:id="rId10" w:history="1">
        <w:r w:rsidRPr="003D4FF0">
          <w:rPr>
            <w:rStyle w:val="Hyperlink"/>
            <w:rFonts w:ascii="Times New Roman" w:hAnsi="Times New Roman" w:cs="Times New Roman"/>
            <w:color w:val="000000" w:themeColor="text1"/>
            <w:sz w:val="24"/>
            <w:szCs w:val="24"/>
            <w:u w:val="none"/>
            <w:shd w:val="clear" w:color="auto" w:fill="FFFFFF"/>
          </w:rPr>
          <w:t>https://doi.org/10.1038/s41413-018-0016-9</w:t>
        </w:r>
      </w:hyperlink>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shd w:val="clear" w:color="auto" w:fill="FFFFFF"/>
        </w:rPr>
      </w:pPr>
      <w:r w:rsidRPr="003D4FF0">
        <w:rPr>
          <w:rFonts w:ascii="Times New Roman" w:hAnsi="Times New Roman" w:cs="Times New Roman"/>
          <w:color w:val="000000" w:themeColor="text1"/>
          <w:sz w:val="24"/>
          <w:szCs w:val="24"/>
          <w:shd w:val="clear" w:color="auto" w:fill="FFFFFF"/>
        </w:rPr>
        <w:t xml:space="preserve">Heidari, B. (2011). Rheumatoid Arthritis: Early diagnosis and treatment outcomes. </w:t>
      </w:r>
      <w:r w:rsidRPr="003D4FF0">
        <w:rPr>
          <w:rFonts w:ascii="Times New Roman" w:hAnsi="Times New Roman" w:cs="Times New Roman"/>
          <w:i/>
          <w:iCs/>
          <w:color w:val="000000" w:themeColor="text1"/>
          <w:sz w:val="24"/>
          <w:szCs w:val="24"/>
          <w:shd w:val="clear" w:color="auto" w:fill="FFFFFF"/>
        </w:rPr>
        <w:t>Caspian Journal of internal medicine</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2</w:t>
      </w:r>
      <w:r w:rsidRPr="003D4FF0">
        <w:rPr>
          <w:rFonts w:ascii="Times New Roman" w:hAnsi="Times New Roman" w:cs="Times New Roman"/>
          <w:color w:val="000000" w:themeColor="text1"/>
          <w:sz w:val="24"/>
          <w:szCs w:val="24"/>
          <w:shd w:val="clear" w:color="auto" w:fill="FFFFFF"/>
        </w:rPr>
        <w:t>(1), 161–170.</w:t>
      </w:r>
    </w:p>
    <w:p w:rsidR="003D4FF0" w:rsidRPr="003D4FF0" w:rsidRDefault="008572C6" w:rsidP="003D4FF0">
      <w:pPr>
        <w:spacing w:after="0" w:line="480" w:lineRule="auto"/>
        <w:ind w:left="851" w:hanging="851"/>
        <w:rPr>
          <w:rFonts w:ascii="Times New Roman" w:hAnsi="Times New Roman" w:cs="Times New Roman"/>
          <w:color w:val="000000" w:themeColor="text1"/>
          <w:sz w:val="24"/>
          <w:szCs w:val="24"/>
          <w:shd w:val="clear" w:color="auto" w:fill="FFFFFF"/>
        </w:rPr>
      </w:pPr>
      <w:r w:rsidRPr="003D4FF0">
        <w:rPr>
          <w:rFonts w:ascii="Times New Roman" w:hAnsi="Times New Roman" w:cs="Times New Roman"/>
          <w:color w:val="000000" w:themeColor="text1"/>
          <w:sz w:val="24"/>
          <w:szCs w:val="24"/>
          <w:shd w:val="clear" w:color="auto" w:fill="FFFFFF"/>
        </w:rPr>
        <w:t>Köhler, B. M., Günther, J., Kaudewitz, D., &amp; Lorenz, H. M. (2019). Current Therapeutic Options in the Treatment of Rheumatoid Arthritis. </w:t>
      </w:r>
      <w:r w:rsidRPr="003D4FF0">
        <w:rPr>
          <w:rFonts w:ascii="Times New Roman" w:hAnsi="Times New Roman" w:cs="Times New Roman"/>
          <w:i/>
          <w:iCs/>
          <w:color w:val="000000" w:themeColor="text1"/>
          <w:sz w:val="24"/>
          <w:szCs w:val="24"/>
          <w:shd w:val="clear" w:color="auto" w:fill="FFFFFF"/>
        </w:rPr>
        <w:t>Journal of clinical medicine</w:t>
      </w:r>
      <w:r w:rsidRPr="003D4FF0">
        <w:rPr>
          <w:rFonts w:ascii="Times New Roman" w:hAnsi="Times New Roman" w:cs="Times New Roman"/>
          <w:color w:val="000000" w:themeColor="text1"/>
          <w:sz w:val="24"/>
          <w:szCs w:val="24"/>
          <w:shd w:val="clear" w:color="auto" w:fill="FFFFFF"/>
        </w:rPr>
        <w:t>, </w:t>
      </w:r>
      <w:r w:rsidRPr="003D4FF0">
        <w:rPr>
          <w:rFonts w:ascii="Times New Roman" w:hAnsi="Times New Roman" w:cs="Times New Roman"/>
          <w:i/>
          <w:iCs/>
          <w:color w:val="000000" w:themeColor="text1"/>
          <w:sz w:val="24"/>
          <w:szCs w:val="24"/>
          <w:shd w:val="clear" w:color="auto" w:fill="FFFFFF"/>
        </w:rPr>
        <w:t>8</w:t>
      </w:r>
      <w:r w:rsidRPr="003D4FF0">
        <w:rPr>
          <w:rFonts w:ascii="Times New Roman" w:hAnsi="Times New Roman" w:cs="Times New Roman"/>
          <w:color w:val="000000" w:themeColor="text1"/>
          <w:sz w:val="24"/>
          <w:szCs w:val="24"/>
          <w:shd w:val="clear" w:color="auto" w:fill="FFFFFF"/>
        </w:rPr>
        <w:t xml:space="preserve">(7), 938. </w:t>
      </w:r>
      <w:hyperlink r:id="rId11" w:history="1">
        <w:r w:rsidRPr="003D4FF0">
          <w:rPr>
            <w:rStyle w:val="Hyperlink"/>
            <w:rFonts w:ascii="Times New Roman" w:hAnsi="Times New Roman" w:cs="Times New Roman"/>
            <w:color w:val="000000" w:themeColor="text1"/>
            <w:sz w:val="24"/>
            <w:szCs w:val="24"/>
            <w:u w:val="none"/>
            <w:shd w:val="clear" w:color="auto" w:fill="FFFFFF"/>
          </w:rPr>
          <w:t>https://doi.org/10.3390/jcm8070938</w:t>
        </w:r>
      </w:hyperlink>
    </w:p>
    <w:sectPr w:rsidR="003D4FF0" w:rsidRPr="003D4FF0" w:rsidSect="00CD6EA8">
      <w:head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342" w:rsidRDefault="003F6342" w:rsidP="00CD6EA8">
      <w:pPr>
        <w:spacing w:after="0" w:line="240" w:lineRule="auto"/>
      </w:pPr>
      <w:r>
        <w:separator/>
      </w:r>
    </w:p>
  </w:endnote>
  <w:endnote w:type="continuationSeparator" w:id="1">
    <w:p w:rsidR="003F6342" w:rsidRDefault="003F6342" w:rsidP="00CD6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342" w:rsidRDefault="003F6342" w:rsidP="00CD6EA8">
      <w:pPr>
        <w:spacing w:after="0" w:line="240" w:lineRule="auto"/>
      </w:pPr>
      <w:r>
        <w:separator/>
      </w:r>
    </w:p>
  </w:footnote>
  <w:footnote w:type="continuationSeparator" w:id="1">
    <w:p w:rsidR="003F6342" w:rsidRDefault="003F6342" w:rsidP="00CD6E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1795750"/>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3D4FF0" w:rsidRPr="003D4FF0" w:rsidRDefault="00BA0ABE">
        <w:pPr>
          <w:pStyle w:val="Header"/>
          <w:jc w:val="right"/>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fldChar w:fldCharType="begin"/>
        </w:r>
        <w:r w:rsidR="008572C6" w:rsidRPr="003D4FF0">
          <w:rPr>
            <w:rFonts w:ascii="Times New Roman" w:hAnsi="Times New Roman" w:cs="Times New Roman"/>
            <w:color w:val="000000" w:themeColor="text1"/>
            <w:sz w:val="24"/>
            <w:szCs w:val="24"/>
          </w:rPr>
          <w:instrText xml:space="preserve"> PAGE   \* MERGEFORMAT </w:instrText>
        </w:r>
        <w:r w:rsidRPr="003D4FF0">
          <w:rPr>
            <w:rFonts w:ascii="Times New Roman" w:hAnsi="Times New Roman" w:cs="Times New Roman"/>
            <w:color w:val="000000" w:themeColor="text1"/>
            <w:sz w:val="24"/>
            <w:szCs w:val="24"/>
          </w:rPr>
          <w:fldChar w:fldCharType="separate"/>
        </w:r>
        <w:r w:rsidR="004C2581">
          <w:rPr>
            <w:rFonts w:ascii="Times New Roman" w:hAnsi="Times New Roman" w:cs="Times New Roman"/>
            <w:noProof/>
            <w:color w:val="000000" w:themeColor="text1"/>
            <w:sz w:val="24"/>
            <w:szCs w:val="24"/>
          </w:rPr>
          <w:t>11</w:t>
        </w:r>
        <w:r w:rsidRPr="003D4FF0">
          <w:rPr>
            <w:rFonts w:ascii="Times New Roman" w:hAnsi="Times New Roman" w:cs="Times New Roman"/>
            <w:noProof/>
            <w:color w:val="000000" w:themeColor="text1"/>
            <w:sz w:val="24"/>
            <w:szCs w:val="24"/>
          </w:rPr>
          <w:fldChar w:fldCharType="end"/>
        </w:r>
      </w:p>
    </w:sdtContent>
  </w:sdt>
  <w:p w:rsidR="003D4FF0" w:rsidRPr="003D4FF0" w:rsidRDefault="003D4FF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05406"/>
    <w:multiLevelType w:val="hybridMultilevel"/>
    <w:tmpl w:val="1FD221DE"/>
    <w:lvl w:ilvl="0" w:tplc="6EA8844C">
      <w:start w:val="1"/>
      <w:numFmt w:val="decimal"/>
      <w:lvlText w:val="%1."/>
      <w:lvlJc w:val="left"/>
      <w:pPr>
        <w:ind w:left="720" w:hanging="360"/>
      </w:pPr>
      <w:rPr>
        <w:rFonts w:hint="default"/>
      </w:rPr>
    </w:lvl>
    <w:lvl w:ilvl="1" w:tplc="005E6BA8" w:tentative="1">
      <w:start w:val="1"/>
      <w:numFmt w:val="lowerLetter"/>
      <w:lvlText w:val="%2."/>
      <w:lvlJc w:val="left"/>
      <w:pPr>
        <w:ind w:left="1440" w:hanging="360"/>
      </w:pPr>
    </w:lvl>
    <w:lvl w:ilvl="2" w:tplc="A7B42D18" w:tentative="1">
      <w:start w:val="1"/>
      <w:numFmt w:val="lowerRoman"/>
      <w:lvlText w:val="%3."/>
      <w:lvlJc w:val="right"/>
      <w:pPr>
        <w:ind w:left="2160" w:hanging="180"/>
      </w:pPr>
    </w:lvl>
    <w:lvl w:ilvl="3" w:tplc="762024FC" w:tentative="1">
      <w:start w:val="1"/>
      <w:numFmt w:val="decimal"/>
      <w:lvlText w:val="%4."/>
      <w:lvlJc w:val="left"/>
      <w:pPr>
        <w:ind w:left="2880" w:hanging="360"/>
      </w:pPr>
    </w:lvl>
    <w:lvl w:ilvl="4" w:tplc="5C92B428" w:tentative="1">
      <w:start w:val="1"/>
      <w:numFmt w:val="lowerLetter"/>
      <w:lvlText w:val="%5."/>
      <w:lvlJc w:val="left"/>
      <w:pPr>
        <w:ind w:left="3600" w:hanging="360"/>
      </w:pPr>
    </w:lvl>
    <w:lvl w:ilvl="5" w:tplc="DC2C3C6A" w:tentative="1">
      <w:start w:val="1"/>
      <w:numFmt w:val="lowerRoman"/>
      <w:lvlText w:val="%6."/>
      <w:lvlJc w:val="right"/>
      <w:pPr>
        <w:ind w:left="4320" w:hanging="180"/>
      </w:pPr>
    </w:lvl>
    <w:lvl w:ilvl="6" w:tplc="10D65650" w:tentative="1">
      <w:start w:val="1"/>
      <w:numFmt w:val="decimal"/>
      <w:lvlText w:val="%7."/>
      <w:lvlJc w:val="left"/>
      <w:pPr>
        <w:ind w:left="5040" w:hanging="360"/>
      </w:pPr>
    </w:lvl>
    <w:lvl w:ilvl="7" w:tplc="C5665F82" w:tentative="1">
      <w:start w:val="1"/>
      <w:numFmt w:val="lowerLetter"/>
      <w:lvlText w:val="%8."/>
      <w:lvlJc w:val="left"/>
      <w:pPr>
        <w:ind w:left="5760" w:hanging="360"/>
      </w:pPr>
    </w:lvl>
    <w:lvl w:ilvl="8" w:tplc="65E8E02A" w:tentative="1">
      <w:start w:val="1"/>
      <w:numFmt w:val="lowerRoman"/>
      <w:lvlText w:val="%9."/>
      <w:lvlJc w:val="right"/>
      <w:pPr>
        <w:ind w:left="6480" w:hanging="180"/>
      </w:pPr>
    </w:lvl>
  </w:abstractNum>
  <w:abstractNum w:abstractNumId="1">
    <w:nsid w:val="23774BFE"/>
    <w:multiLevelType w:val="hybridMultilevel"/>
    <w:tmpl w:val="2A5A30B4"/>
    <w:lvl w:ilvl="0" w:tplc="C37E537E">
      <w:start w:val="1"/>
      <w:numFmt w:val="bullet"/>
      <w:lvlText w:val=""/>
      <w:lvlJc w:val="left"/>
      <w:pPr>
        <w:ind w:left="720" w:hanging="360"/>
      </w:pPr>
      <w:rPr>
        <w:rFonts w:ascii="Symbol" w:hAnsi="Symbol" w:hint="default"/>
      </w:rPr>
    </w:lvl>
    <w:lvl w:ilvl="1" w:tplc="85F0D814" w:tentative="1">
      <w:start w:val="1"/>
      <w:numFmt w:val="bullet"/>
      <w:lvlText w:val="o"/>
      <w:lvlJc w:val="left"/>
      <w:pPr>
        <w:ind w:left="1440" w:hanging="360"/>
      </w:pPr>
      <w:rPr>
        <w:rFonts w:ascii="Courier New" w:hAnsi="Courier New" w:cs="Courier New" w:hint="default"/>
      </w:rPr>
    </w:lvl>
    <w:lvl w:ilvl="2" w:tplc="38929E7C" w:tentative="1">
      <w:start w:val="1"/>
      <w:numFmt w:val="bullet"/>
      <w:lvlText w:val=""/>
      <w:lvlJc w:val="left"/>
      <w:pPr>
        <w:ind w:left="2160" w:hanging="360"/>
      </w:pPr>
      <w:rPr>
        <w:rFonts w:ascii="Wingdings" w:hAnsi="Wingdings" w:hint="default"/>
      </w:rPr>
    </w:lvl>
    <w:lvl w:ilvl="3" w:tplc="9BB03FEA" w:tentative="1">
      <w:start w:val="1"/>
      <w:numFmt w:val="bullet"/>
      <w:lvlText w:val=""/>
      <w:lvlJc w:val="left"/>
      <w:pPr>
        <w:ind w:left="2880" w:hanging="360"/>
      </w:pPr>
      <w:rPr>
        <w:rFonts w:ascii="Symbol" w:hAnsi="Symbol" w:hint="default"/>
      </w:rPr>
    </w:lvl>
    <w:lvl w:ilvl="4" w:tplc="40C64E2E" w:tentative="1">
      <w:start w:val="1"/>
      <w:numFmt w:val="bullet"/>
      <w:lvlText w:val="o"/>
      <w:lvlJc w:val="left"/>
      <w:pPr>
        <w:ind w:left="3600" w:hanging="360"/>
      </w:pPr>
      <w:rPr>
        <w:rFonts w:ascii="Courier New" w:hAnsi="Courier New" w:cs="Courier New" w:hint="default"/>
      </w:rPr>
    </w:lvl>
    <w:lvl w:ilvl="5" w:tplc="8E224C4C" w:tentative="1">
      <w:start w:val="1"/>
      <w:numFmt w:val="bullet"/>
      <w:lvlText w:val=""/>
      <w:lvlJc w:val="left"/>
      <w:pPr>
        <w:ind w:left="4320" w:hanging="360"/>
      </w:pPr>
      <w:rPr>
        <w:rFonts w:ascii="Wingdings" w:hAnsi="Wingdings" w:hint="default"/>
      </w:rPr>
    </w:lvl>
    <w:lvl w:ilvl="6" w:tplc="94F05452" w:tentative="1">
      <w:start w:val="1"/>
      <w:numFmt w:val="bullet"/>
      <w:lvlText w:val=""/>
      <w:lvlJc w:val="left"/>
      <w:pPr>
        <w:ind w:left="5040" w:hanging="360"/>
      </w:pPr>
      <w:rPr>
        <w:rFonts w:ascii="Symbol" w:hAnsi="Symbol" w:hint="default"/>
      </w:rPr>
    </w:lvl>
    <w:lvl w:ilvl="7" w:tplc="322AC69C" w:tentative="1">
      <w:start w:val="1"/>
      <w:numFmt w:val="bullet"/>
      <w:lvlText w:val="o"/>
      <w:lvlJc w:val="left"/>
      <w:pPr>
        <w:ind w:left="5760" w:hanging="360"/>
      </w:pPr>
      <w:rPr>
        <w:rFonts w:ascii="Courier New" w:hAnsi="Courier New" w:cs="Courier New" w:hint="default"/>
      </w:rPr>
    </w:lvl>
    <w:lvl w:ilvl="8" w:tplc="D5AA98C0" w:tentative="1">
      <w:start w:val="1"/>
      <w:numFmt w:val="bullet"/>
      <w:lvlText w:val=""/>
      <w:lvlJc w:val="left"/>
      <w:pPr>
        <w:ind w:left="6480" w:hanging="360"/>
      </w:pPr>
      <w:rPr>
        <w:rFonts w:ascii="Wingdings" w:hAnsi="Wingdings" w:hint="default"/>
      </w:rPr>
    </w:lvl>
  </w:abstractNum>
  <w:abstractNum w:abstractNumId="2">
    <w:nsid w:val="47F951EC"/>
    <w:multiLevelType w:val="hybridMultilevel"/>
    <w:tmpl w:val="2D824D6A"/>
    <w:lvl w:ilvl="0" w:tplc="1BCA6654">
      <w:start w:val="1"/>
      <w:numFmt w:val="bullet"/>
      <w:lvlText w:val=""/>
      <w:lvlJc w:val="left"/>
      <w:pPr>
        <w:ind w:left="720" w:hanging="360"/>
      </w:pPr>
      <w:rPr>
        <w:rFonts w:ascii="Symbol" w:hAnsi="Symbol" w:hint="default"/>
      </w:rPr>
    </w:lvl>
    <w:lvl w:ilvl="1" w:tplc="FCEC812C" w:tentative="1">
      <w:start w:val="1"/>
      <w:numFmt w:val="bullet"/>
      <w:lvlText w:val="o"/>
      <w:lvlJc w:val="left"/>
      <w:pPr>
        <w:ind w:left="1440" w:hanging="360"/>
      </w:pPr>
      <w:rPr>
        <w:rFonts w:ascii="Courier New" w:hAnsi="Courier New" w:cs="Courier New" w:hint="default"/>
      </w:rPr>
    </w:lvl>
    <w:lvl w:ilvl="2" w:tplc="D76838A4" w:tentative="1">
      <w:start w:val="1"/>
      <w:numFmt w:val="bullet"/>
      <w:lvlText w:val=""/>
      <w:lvlJc w:val="left"/>
      <w:pPr>
        <w:ind w:left="2160" w:hanging="360"/>
      </w:pPr>
      <w:rPr>
        <w:rFonts w:ascii="Wingdings" w:hAnsi="Wingdings" w:hint="default"/>
      </w:rPr>
    </w:lvl>
    <w:lvl w:ilvl="3" w:tplc="578C1794" w:tentative="1">
      <w:start w:val="1"/>
      <w:numFmt w:val="bullet"/>
      <w:lvlText w:val=""/>
      <w:lvlJc w:val="left"/>
      <w:pPr>
        <w:ind w:left="2880" w:hanging="360"/>
      </w:pPr>
      <w:rPr>
        <w:rFonts w:ascii="Symbol" w:hAnsi="Symbol" w:hint="default"/>
      </w:rPr>
    </w:lvl>
    <w:lvl w:ilvl="4" w:tplc="CC38055E" w:tentative="1">
      <w:start w:val="1"/>
      <w:numFmt w:val="bullet"/>
      <w:lvlText w:val="o"/>
      <w:lvlJc w:val="left"/>
      <w:pPr>
        <w:ind w:left="3600" w:hanging="360"/>
      </w:pPr>
      <w:rPr>
        <w:rFonts w:ascii="Courier New" w:hAnsi="Courier New" w:cs="Courier New" w:hint="default"/>
      </w:rPr>
    </w:lvl>
    <w:lvl w:ilvl="5" w:tplc="5F56C26E" w:tentative="1">
      <w:start w:val="1"/>
      <w:numFmt w:val="bullet"/>
      <w:lvlText w:val=""/>
      <w:lvlJc w:val="left"/>
      <w:pPr>
        <w:ind w:left="4320" w:hanging="360"/>
      </w:pPr>
      <w:rPr>
        <w:rFonts w:ascii="Wingdings" w:hAnsi="Wingdings" w:hint="default"/>
      </w:rPr>
    </w:lvl>
    <w:lvl w:ilvl="6" w:tplc="7D825546" w:tentative="1">
      <w:start w:val="1"/>
      <w:numFmt w:val="bullet"/>
      <w:lvlText w:val=""/>
      <w:lvlJc w:val="left"/>
      <w:pPr>
        <w:ind w:left="5040" w:hanging="360"/>
      </w:pPr>
      <w:rPr>
        <w:rFonts w:ascii="Symbol" w:hAnsi="Symbol" w:hint="default"/>
      </w:rPr>
    </w:lvl>
    <w:lvl w:ilvl="7" w:tplc="C736D902" w:tentative="1">
      <w:start w:val="1"/>
      <w:numFmt w:val="bullet"/>
      <w:lvlText w:val="o"/>
      <w:lvlJc w:val="left"/>
      <w:pPr>
        <w:ind w:left="5760" w:hanging="360"/>
      </w:pPr>
      <w:rPr>
        <w:rFonts w:ascii="Courier New" w:hAnsi="Courier New" w:cs="Courier New" w:hint="default"/>
      </w:rPr>
    </w:lvl>
    <w:lvl w:ilvl="8" w:tplc="B87CEDCA" w:tentative="1">
      <w:start w:val="1"/>
      <w:numFmt w:val="bullet"/>
      <w:lvlText w:val=""/>
      <w:lvlJc w:val="left"/>
      <w:pPr>
        <w:ind w:left="6480" w:hanging="360"/>
      </w:pPr>
      <w:rPr>
        <w:rFonts w:ascii="Wingdings" w:hAnsi="Wingdings" w:hint="default"/>
      </w:rPr>
    </w:lvl>
  </w:abstractNum>
  <w:abstractNum w:abstractNumId="3">
    <w:nsid w:val="740E7BA1"/>
    <w:multiLevelType w:val="hybridMultilevel"/>
    <w:tmpl w:val="ED8CB482"/>
    <w:lvl w:ilvl="0" w:tplc="86784530">
      <w:start w:val="1"/>
      <w:numFmt w:val="decimal"/>
      <w:lvlText w:val="%1."/>
      <w:lvlJc w:val="left"/>
      <w:pPr>
        <w:ind w:left="720" w:hanging="360"/>
      </w:pPr>
      <w:rPr>
        <w:rFonts w:hint="default"/>
      </w:rPr>
    </w:lvl>
    <w:lvl w:ilvl="1" w:tplc="938A82E0" w:tentative="1">
      <w:start w:val="1"/>
      <w:numFmt w:val="lowerLetter"/>
      <w:lvlText w:val="%2."/>
      <w:lvlJc w:val="left"/>
      <w:pPr>
        <w:ind w:left="1440" w:hanging="360"/>
      </w:pPr>
    </w:lvl>
    <w:lvl w:ilvl="2" w:tplc="2D4E8954" w:tentative="1">
      <w:start w:val="1"/>
      <w:numFmt w:val="lowerRoman"/>
      <w:lvlText w:val="%3."/>
      <w:lvlJc w:val="right"/>
      <w:pPr>
        <w:ind w:left="2160" w:hanging="180"/>
      </w:pPr>
    </w:lvl>
    <w:lvl w:ilvl="3" w:tplc="E74AC5AA" w:tentative="1">
      <w:start w:val="1"/>
      <w:numFmt w:val="decimal"/>
      <w:lvlText w:val="%4."/>
      <w:lvlJc w:val="left"/>
      <w:pPr>
        <w:ind w:left="2880" w:hanging="360"/>
      </w:pPr>
    </w:lvl>
    <w:lvl w:ilvl="4" w:tplc="86BECF7A" w:tentative="1">
      <w:start w:val="1"/>
      <w:numFmt w:val="lowerLetter"/>
      <w:lvlText w:val="%5."/>
      <w:lvlJc w:val="left"/>
      <w:pPr>
        <w:ind w:left="3600" w:hanging="360"/>
      </w:pPr>
    </w:lvl>
    <w:lvl w:ilvl="5" w:tplc="2570A822" w:tentative="1">
      <w:start w:val="1"/>
      <w:numFmt w:val="lowerRoman"/>
      <w:lvlText w:val="%6."/>
      <w:lvlJc w:val="right"/>
      <w:pPr>
        <w:ind w:left="4320" w:hanging="180"/>
      </w:pPr>
    </w:lvl>
    <w:lvl w:ilvl="6" w:tplc="CE808056" w:tentative="1">
      <w:start w:val="1"/>
      <w:numFmt w:val="decimal"/>
      <w:lvlText w:val="%7."/>
      <w:lvlJc w:val="left"/>
      <w:pPr>
        <w:ind w:left="5040" w:hanging="360"/>
      </w:pPr>
    </w:lvl>
    <w:lvl w:ilvl="7" w:tplc="04C09CEA" w:tentative="1">
      <w:start w:val="1"/>
      <w:numFmt w:val="lowerLetter"/>
      <w:lvlText w:val="%8."/>
      <w:lvlJc w:val="left"/>
      <w:pPr>
        <w:ind w:left="5760" w:hanging="360"/>
      </w:pPr>
    </w:lvl>
    <w:lvl w:ilvl="8" w:tplc="5BDC90AC" w:tentative="1">
      <w:start w:val="1"/>
      <w:numFmt w:val="lowerRoman"/>
      <w:lvlText w:val="%9."/>
      <w:lvlJc w:val="right"/>
      <w:pPr>
        <w:ind w:left="6480" w:hanging="180"/>
      </w:pPr>
    </w:lvl>
  </w:abstractNum>
  <w:abstractNum w:abstractNumId="4">
    <w:nsid w:val="78390293"/>
    <w:multiLevelType w:val="hybridMultilevel"/>
    <w:tmpl w:val="DF1A9320"/>
    <w:lvl w:ilvl="0" w:tplc="AAC6083E">
      <w:start w:val="1"/>
      <w:numFmt w:val="bullet"/>
      <w:lvlText w:val=""/>
      <w:lvlJc w:val="left"/>
      <w:pPr>
        <w:ind w:left="720" w:hanging="360"/>
      </w:pPr>
      <w:rPr>
        <w:rFonts w:ascii="Symbol" w:hAnsi="Symbol" w:hint="default"/>
      </w:rPr>
    </w:lvl>
    <w:lvl w:ilvl="1" w:tplc="7ECE2956" w:tentative="1">
      <w:start w:val="1"/>
      <w:numFmt w:val="bullet"/>
      <w:lvlText w:val="o"/>
      <w:lvlJc w:val="left"/>
      <w:pPr>
        <w:ind w:left="1440" w:hanging="360"/>
      </w:pPr>
      <w:rPr>
        <w:rFonts w:ascii="Courier New" w:hAnsi="Courier New" w:cs="Courier New" w:hint="default"/>
      </w:rPr>
    </w:lvl>
    <w:lvl w:ilvl="2" w:tplc="2E2CDE22" w:tentative="1">
      <w:start w:val="1"/>
      <w:numFmt w:val="bullet"/>
      <w:lvlText w:val=""/>
      <w:lvlJc w:val="left"/>
      <w:pPr>
        <w:ind w:left="2160" w:hanging="360"/>
      </w:pPr>
      <w:rPr>
        <w:rFonts w:ascii="Wingdings" w:hAnsi="Wingdings" w:hint="default"/>
      </w:rPr>
    </w:lvl>
    <w:lvl w:ilvl="3" w:tplc="747AD51E" w:tentative="1">
      <w:start w:val="1"/>
      <w:numFmt w:val="bullet"/>
      <w:lvlText w:val=""/>
      <w:lvlJc w:val="left"/>
      <w:pPr>
        <w:ind w:left="2880" w:hanging="360"/>
      </w:pPr>
      <w:rPr>
        <w:rFonts w:ascii="Symbol" w:hAnsi="Symbol" w:hint="default"/>
      </w:rPr>
    </w:lvl>
    <w:lvl w:ilvl="4" w:tplc="5FD008A0" w:tentative="1">
      <w:start w:val="1"/>
      <w:numFmt w:val="bullet"/>
      <w:lvlText w:val="o"/>
      <w:lvlJc w:val="left"/>
      <w:pPr>
        <w:ind w:left="3600" w:hanging="360"/>
      </w:pPr>
      <w:rPr>
        <w:rFonts w:ascii="Courier New" w:hAnsi="Courier New" w:cs="Courier New" w:hint="default"/>
      </w:rPr>
    </w:lvl>
    <w:lvl w:ilvl="5" w:tplc="4FDAD5E4" w:tentative="1">
      <w:start w:val="1"/>
      <w:numFmt w:val="bullet"/>
      <w:lvlText w:val=""/>
      <w:lvlJc w:val="left"/>
      <w:pPr>
        <w:ind w:left="4320" w:hanging="360"/>
      </w:pPr>
      <w:rPr>
        <w:rFonts w:ascii="Wingdings" w:hAnsi="Wingdings" w:hint="default"/>
      </w:rPr>
    </w:lvl>
    <w:lvl w:ilvl="6" w:tplc="08F04028" w:tentative="1">
      <w:start w:val="1"/>
      <w:numFmt w:val="bullet"/>
      <w:lvlText w:val=""/>
      <w:lvlJc w:val="left"/>
      <w:pPr>
        <w:ind w:left="5040" w:hanging="360"/>
      </w:pPr>
      <w:rPr>
        <w:rFonts w:ascii="Symbol" w:hAnsi="Symbol" w:hint="default"/>
      </w:rPr>
    </w:lvl>
    <w:lvl w:ilvl="7" w:tplc="AA88C224" w:tentative="1">
      <w:start w:val="1"/>
      <w:numFmt w:val="bullet"/>
      <w:lvlText w:val="o"/>
      <w:lvlJc w:val="left"/>
      <w:pPr>
        <w:ind w:left="5760" w:hanging="360"/>
      </w:pPr>
      <w:rPr>
        <w:rFonts w:ascii="Courier New" w:hAnsi="Courier New" w:cs="Courier New" w:hint="default"/>
      </w:rPr>
    </w:lvl>
    <w:lvl w:ilvl="8" w:tplc="9AD6B4A6"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0FBC"/>
    <w:rsid w:val="00024F5D"/>
    <w:rsid w:val="00040B8E"/>
    <w:rsid w:val="00046A34"/>
    <w:rsid w:val="000D061A"/>
    <w:rsid w:val="00172453"/>
    <w:rsid w:val="001A35A8"/>
    <w:rsid w:val="002307B7"/>
    <w:rsid w:val="0030513C"/>
    <w:rsid w:val="00324D2E"/>
    <w:rsid w:val="00350CA7"/>
    <w:rsid w:val="00362324"/>
    <w:rsid w:val="00377A1A"/>
    <w:rsid w:val="003D4FF0"/>
    <w:rsid w:val="003F6342"/>
    <w:rsid w:val="004C2581"/>
    <w:rsid w:val="0050205E"/>
    <w:rsid w:val="005F54CE"/>
    <w:rsid w:val="007B06F8"/>
    <w:rsid w:val="007C0F4D"/>
    <w:rsid w:val="00846FBC"/>
    <w:rsid w:val="008572C6"/>
    <w:rsid w:val="00880FBC"/>
    <w:rsid w:val="008E3E47"/>
    <w:rsid w:val="00974E5D"/>
    <w:rsid w:val="00B61E11"/>
    <w:rsid w:val="00BA0ABE"/>
    <w:rsid w:val="00C42577"/>
    <w:rsid w:val="00C45DDD"/>
    <w:rsid w:val="00C8320F"/>
    <w:rsid w:val="00CD6EA8"/>
    <w:rsid w:val="00CD7407"/>
    <w:rsid w:val="00D44ADD"/>
    <w:rsid w:val="00DA5816"/>
    <w:rsid w:val="00DE4694"/>
    <w:rsid w:val="00E20B5A"/>
    <w:rsid w:val="00E74406"/>
    <w:rsid w:val="00EA766C"/>
    <w:rsid w:val="00F56760"/>
    <w:rsid w:val="00F95224"/>
    <w:rsid w:val="00FB59E8"/>
    <w:rsid w:val="00FB6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E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6F8"/>
    <w:pPr>
      <w:ind w:left="720"/>
      <w:contextualSpacing/>
    </w:pPr>
  </w:style>
  <w:style w:type="character" w:styleId="Hyperlink">
    <w:name w:val="Hyperlink"/>
    <w:basedOn w:val="DefaultParagraphFont"/>
    <w:uiPriority w:val="99"/>
    <w:unhideWhenUsed/>
    <w:rsid w:val="00350CA7"/>
    <w:rPr>
      <w:color w:val="0563C1" w:themeColor="hyperlink"/>
      <w:u w:val="single"/>
    </w:rPr>
  </w:style>
  <w:style w:type="character" w:customStyle="1" w:styleId="UnresolvedMention">
    <w:name w:val="Unresolved Mention"/>
    <w:basedOn w:val="DefaultParagraphFont"/>
    <w:uiPriority w:val="99"/>
    <w:semiHidden/>
    <w:unhideWhenUsed/>
    <w:rsid w:val="00350CA7"/>
    <w:rPr>
      <w:color w:val="605E5C"/>
      <w:shd w:val="clear" w:color="auto" w:fill="E1DFDD"/>
    </w:rPr>
  </w:style>
  <w:style w:type="paragraph" w:styleId="Header">
    <w:name w:val="header"/>
    <w:basedOn w:val="Normal"/>
    <w:link w:val="HeaderChar"/>
    <w:uiPriority w:val="99"/>
    <w:unhideWhenUsed/>
    <w:rsid w:val="003D4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FF0"/>
  </w:style>
  <w:style w:type="paragraph" w:styleId="Footer">
    <w:name w:val="footer"/>
    <w:basedOn w:val="Normal"/>
    <w:link w:val="FooterChar"/>
    <w:uiPriority w:val="99"/>
    <w:unhideWhenUsed/>
    <w:rsid w:val="003D4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F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rheumatology/ket41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152/eurjrheum.2019.1914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jcm8070938" TargetMode="External"/><Relationship Id="rId5" Type="http://schemas.openxmlformats.org/officeDocument/2006/relationships/footnotes" Target="footnotes.xml"/><Relationship Id="rId10" Type="http://schemas.openxmlformats.org/officeDocument/2006/relationships/hyperlink" Target="https://doi.org/10.1038/s41413-018-0016-9" TargetMode="External"/><Relationship Id="rId4" Type="http://schemas.openxmlformats.org/officeDocument/2006/relationships/webSettings" Target="webSettings.xml"/><Relationship Id="rId9" Type="http://schemas.openxmlformats.org/officeDocument/2006/relationships/hyperlink" Target="https://doi.org/10.7759/cureus.733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2020-12-04T06:20:00Z</dcterms:created>
  <dcterms:modified xsi:type="dcterms:W3CDTF">2020-12-04T06:20:00Z</dcterms:modified>
</cp:coreProperties>
</file>